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718D5EDD" w:rsidR="008B4FE4" w:rsidRPr="00AC77DB" w:rsidRDefault="00F57CB8" w:rsidP="00F57CB8">
      <w:pPr>
        <w:ind w:firstLine="0"/>
        <w:jc w:val="center"/>
        <w:rPr>
          <w:rFonts w:asciiTheme="minorHAnsi" w:hAnsiTheme="minorHAnsi"/>
          <w:lang w:val="cs-CZ"/>
        </w:rPr>
      </w:pPr>
      <w:r w:rsidRPr="00AC77DB">
        <w:rPr>
          <w:noProof/>
          <w:lang w:val="cs-CZ" w:eastAsia="cs-CZ" w:bidi="ar-SA"/>
        </w:rPr>
        <w:drawing>
          <wp:inline distT="0" distB="0" distL="0" distR="0" wp14:anchorId="26454764" wp14:editId="4AD0836C">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14:paraId="4EE30C7F" w14:textId="77777777"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14:paraId="3819314A" w14:textId="77777777"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825935" w:rsidRPr="00AC77DB">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14:paraId="3984C703" w14:textId="77777777"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14:paraId="35D3A3D8" w14:textId="77777777"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14:paraId="13416293" w14:textId="77777777" w:rsidR="00CB503C" w:rsidRPr="00AC77DB"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14:paraId="1F90F37E" w14:textId="77777777"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14:paraId="3F19F277" w14:textId="77777777" w:rsidTr="00D86AFE">
        <w:tc>
          <w:tcPr>
            <w:tcW w:w="8494" w:type="dxa"/>
            <w:gridSpan w:val="2"/>
            <w:shd w:val="clear" w:color="auto" w:fill="D9D9D9" w:themeFill="background1" w:themeFillShade="D9"/>
          </w:tcPr>
          <w:p w14:paraId="16D9DDAD" w14:textId="77777777" w:rsidR="00F57CB8" w:rsidRPr="00AC77DB" w:rsidRDefault="00D86AFE" w:rsidP="00D86AFE">
            <w:pPr>
              <w:pStyle w:val="Bezmezer"/>
              <w:numPr>
                <w:ilvl w:val="0"/>
                <w:numId w:val="0"/>
              </w:numPr>
              <w:rPr>
                <w:b/>
                <w:lang w:val="cs-CZ"/>
              </w:rPr>
            </w:pPr>
            <w:r w:rsidRPr="00AC77DB">
              <w:rPr>
                <w:b/>
                <w:lang w:val="cs-CZ"/>
              </w:rPr>
              <w:t>Objednatel</w:t>
            </w:r>
          </w:p>
        </w:tc>
      </w:tr>
      <w:tr w:rsidR="00F57CB8" w:rsidRPr="00AC77DB" w14:paraId="15BEDAF6" w14:textId="77777777" w:rsidTr="00D86AFE">
        <w:tc>
          <w:tcPr>
            <w:tcW w:w="2405" w:type="dxa"/>
          </w:tcPr>
          <w:p w14:paraId="6177970B" w14:textId="77777777"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Název</w:t>
            </w:r>
            <w:r w:rsidR="00D86AFE" w:rsidRPr="00AC77DB">
              <w:rPr>
                <w:rFonts w:cs="Verdana"/>
                <w:lang w:val="cs-CZ"/>
              </w:rPr>
              <w:t>:</w:t>
            </w:r>
          </w:p>
        </w:tc>
        <w:tc>
          <w:tcPr>
            <w:tcW w:w="6089" w:type="dxa"/>
          </w:tcPr>
          <w:p w14:paraId="43EA7CB4" w14:textId="77777777" w:rsidR="00F57CB8" w:rsidRPr="00AC77DB" w:rsidRDefault="00296C68" w:rsidP="00CB503C">
            <w:pPr>
              <w:tabs>
                <w:tab w:val="left" w:pos="2268"/>
              </w:tabs>
              <w:ind w:firstLine="0"/>
              <w:contextualSpacing/>
              <w:rPr>
                <w:rFonts w:asciiTheme="minorHAnsi" w:hAnsiTheme="minorHAnsi"/>
                <w:b/>
                <w:lang w:val="cs-CZ"/>
              </w:rPr>
            </w:pPr>
            <w:r w:rsidRPr="00AC77DB">
              <w:rPr>
                <w:b/>
                <w:lang w:val="cs-CZ"/>
              </w:rPr>
              <w:t>Město Hranice</w:t>
            </w:r>
          </w:p>
        </w:tc>
      </w:tr>
      <w:tr w:rsidR="00F57CB8" w:rsidRPr="00AC77DB" w14:paraId="66F0D431" w14:textId="77777777" w:rsidTr="00D86AFE">
        <w:tc>
          <w:tcPr>
            <w:tcW w:w="2405" w:type="dxa"/>
          </w:tcPr>
          <w:p w14:paraId="55E2D37A" w14:textId="77777777"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14:paraId="79D7CD6D" w14:textId="77777777" w:rsidR="00F57CB8" w:rsidRPr="00AC77DB" w:rsidRDefault="00296C68" w:rsidP="00CB503C">
            <w:pPr>
              <w:tabs>
                <w:tab w:val="left" w:pos="2268"/>
              </w:tabs>
              <w:ind w:firstLine="0"/>
              <w:contextualSpacing/>
              <w:rPr>
                <w:rFonts w:asciiTheme="minorHAnsi" w:hAnsiTheme="minorHAnsi"/>
                <w:lang w:val="cs-CZ"/>
              </w:rPr>
            </w:pPr>
            <w:r w:rsidRPr="00AC77DB">
              <w:rPr>
                <w:color w:val="000000"/>
                <w:lang w:val="cs-CZ"/>
              </w:rPr>
              <w:t>U Pošty 182, 351 24 Hranice u Aše</w:t>
            </w:r>
          </w:p>
        </w:tc>
      </w:tr>
      <w:tr w:rsidR="00F57CB8" w:rsidRPr="00AC77DB" w14:paraId="65256618" w14:textId="77777777" w:rsidTr="00D86AFE">
        <w:tc>
          <w:tcPr>
            <w:tcW w:w="2405" w:type="dxa"/>
          </w:tcPr>
          <w:p w14:paraId="400956E9" w14:textId="77777777"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14:paraId="4157ECD4" w14:textId="77777777" w:rsidR="00F57CB8" w:rsidRPr="00AC77DB" w:rsidRDefault="00296C68" w:rsidP="00CB503C">
            <w:pPr>
              <w:tabs>
                <w:tab w:val="left" w:pos="2268"/>
              </w:tabs>
              <w:ind w:firstLine="0"/>
              <w:contextualSpacing/>
              <w:rPr>
                <w:rFonts w:asciiTheme="minorHAnsi" w:hAnsiTheme="minorHAnsi"/>
                <w:lang w:val="cs-CZ"/>
              </w:rPr>
            </w:pPr>
            <w:r w:rsidRPr="00AC77DB">
              <w:rPr>
                <w:rFonts w:cs="Arial"/>
                <w:lang w:val="cs-CZ"/>
              </w:rPr>
              <w:t>00253961</w:t>
            </w:r>
          </w:p>
        </w:tc>
      </w:tr>
      <w:tr w:rsidR="00280AD9" w:rsidRPr="00AC77DB" w14:paraId="141B184C" w14:textId="77777777" w:rsidTr="00D86AFE">
        <w:tc>
          <w:tcPr>
            <w:tcW w:w="2405" w:type="dxa"/>
          </w:tcPr>
          <w:p w14:paraId="66CA81D4" w14:textId="77777777" w:rsidR="00280AD9" w:rsidRPr="00AC77DB" w:rsidRDefault="00280AD9" w:rsidP="00CB503C">
            <w:pPr>
              <w:tabs>
                <w:tab w:val="left" w:pos="2268"/>
              </w:tabs>
              <w:ind w:firstLine="0"/>
              <w:contextualSpacing/>
              <w:rPr>
                <w:rFonts w:cs="Verdana"/>
                <w:lang w:val="cs-CZ"/>
              </w:rPr>
            </w:pPr>
            <w:r w:rsidRPr="00AC77DB">
              <w:rPr>
                <w:rFonts w:cs="Verdana"/>
                <w:lang w:val="cs-CZ"/>
              </w:rPr>
              <w:t>DIČ:</w:t>
            </w:r>
          </w:p>
        </w:tc>
        <w:tc>
          <w:tcPr>
            <w:tcW w:w="6089" w:type="dxa"/>
          </w:tcPr>
          <w:p w14:paraId="01E39D6D" w14:textId="77777777" w:rsidR="00280AD9" w:rsidRPr="00AC77DB" w:rsidRDefault="00280AD9" w:rsidP="00CB503C">
            <w:pPr>
              <w:tabs>
                <w:tab w:val="left" w:pos="2268"/>
              </w:tabs>
              <w:ind w:firstLine="0"/>
              <w:contextualSpacing/>
              <w:rPr>
                <w:rFonts w:cs="Arial"/>
                <w:shd w:val="clear" w:color="auto" w:fill="FFFFFF"/>
                <w:lang w:val="cs-CZ"/>
              </w:rPr>
            </w:pPr>
            <w:r w:rsidRPr="00AC77DB">
              <w:rPr>
                <w:rFonts w:cs="Arial"/>
                <w:lang w:val="cs-CZ"/>
              </w:rPr>
              <w:t>CZ</w:t>
            </w:r>
            <w:r w:rsidR="00296C68" w:rsidRPr="00AC77DB">
              <w:rPr>
                <w:rFonts w:cs="Arial"/>
                <w:lang w:val="cs-CZ"/>
              </w:rPr>
              <w:t>00253961</w:t>
            </w:r>
          </w:p>
        </w:tc>
      </w:tr>
      <w:tr w:rsidR="00F57CB8" w:rsidRPr="00AC77DB" w14:paraId="3FACE72C" w14:textId="77777777" w:rsidTr="00D86AFE">
        <w:tc>
          <w:tcPr>
            <w:tcW w:w="2405" w:type="dxa"/>
          </w:tcPr>
          <w:p w14:paraId="6E7FC9D7" w14:textId="77777777" w:rsidR="00F57CB8" w:rsidRPr="00AC77DB" w:rsidRDefault="00D86AFE" w:rsidP="00CB503C">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14:paraId="376F30B8" w14:textId="77777777" w:rsidR="00F57CB8" w:rsidRPr="00AC77DB" w:rsidRDefault="00296C68" w:rsidP="003C38FD">
            <w:pPr>
              <w:tabs>
                <w:tab w:val="left" w:pos="2268"/>
              </w:tabs>
              <w:ind w:firstLine="0"/>
              <w:contextualSpacing/>
              <w:rPr>
                <w:rFonts w:asciiTheme="minorHAnsi" w:hAnsiTheme="minorHAnsi"/>
                <w:b/>
                <w:lang w:val="cs-CZ"/>
              </w:rPr>
            </w:pPr>
            <w:r w:rsidRPr="00AC77DB">
              <w:rPr>
                <w:rStyle w:val="Siln"/>
                <w:color w:val="000000"/>
                <w:lang w:val="cs-CZ"/>
              </w:rPr>
              <w:t>Miroslav PICKA, starosta města</w:t>
            </w:r>
          </w:p>
        </w:tc>
      </w:tr>
      <w:tr w:rsidR="00D86AFE" w:rsidRPr="00AC77DB" w14:paraId="06EF1F69" w14:textId="77777777" w:rsidTr="00C76F82">
        <w:tc>
          <w:tcPr>
            <w:tcW w:w="2405" w:type="dxa"/>
            <w:shd w:val="clear" w:color="auto" w:fill="auto"/>
          </w:tcPr>
          <w:p w14:paraId="672D6523" w14:textId="77777777"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14:paraId="538DEDF8" w14:textId="77777777" w:rsidR="00D86AFE" w:rsidRPr="00AC77DB" w:rsidRDefault="00D86AFE" w:rsidP="00CB503C">
            <w:pPr>
              <w:tabs>
                <w:tab w:val="left" w:pos="2268"/>
              </w:tabs>
              <w:ind w:firstLine="0"/>
              <w:contextualSpacing/>
              <w:rPr>
                <w:rFonts w:asciiTheme="minorHAnsi" w:hAnsiTheme="minorHAnsi"/>
                <w:lang w:val="cs-CZ"/>
              </w:rPr>
            </w:pPr>
          </w:p>
        </w:tc>
      </w:tr>
      <w:tr w:rsidR="00D86AFE" w:rsidRPr="00AC77DB" w14:paraId="4146DAF6" w14:textId="77777777" w:rsidTr="00C76F82">
        <w:tc>
          <w:tcPr>
            <w:tcW w:w="2405" w:type="dxa"/>
            <w:shd w:val="clear" w:color="auto" w:fill="auto"/>
          </w:tcPr>
          <w:p w14:paraId="1E94AA3B" w14:textId="77777777"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14:paraId="48535DEB" w14:textId="77777777" w:rsidR="00D86AFE" w:rsidRPr="00AC77DB" w:rsidRDefault="00D86AFE" w:rsidP="00CB503C">
            <w:pPr>
              <w:tabs>
                <w:tab w:val="left" w:pos="2268"/>
              </w:tabs>
              <w:ind w:firstLine="0"/>
              <w:contextualSpacing/>
              <w:rPr>
                <w:rFonts w:asciiTheme="minorHAnsi" w:hAnsiTheme="minorHAnsi"/>
                <w:lang w:val="cs-CZ"/>
              </w:rPr>
            </w:pPr>
          </w:p>
        </w:tc>
      </w:tr>
      <w:tr w:rsidR="00F57CB8" w:rsidRPr="00AC77DB" w14:paraId="7A86D0AE" w14:textId="77777777" w:rsidTr="00C76F82">
        <w:tc>
          <w:tcPr>
            <w:tcW w:w="2405" w:type="dxa"/>
            <w:shd w:val="clear" w:color="auto" w:fill="auto"/>
          </w:tcPr>
          <w:p w14:paraId="564AD9FF" w14:textId="77777777" w:rsidR="00F57CB8"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Kontaktní osoba:</w:t>
            </w:r>
          </w:p>
        </w:tc>
        <w:tc>
          <w:tcPr>
            <w:tcW w:w="6089" w:type="dxa"/>
          </w:tcPr>
          <w:p w14:paraId="1099E22F" w14:textId="77777777" w:rsidR="00F57CB8" w:rsidRPr="00AC77DB" w:rsidRDefault="00F57CB8" w:rsidP="00CB503C">
            <w:pPr>
              <w:tabs>
                <w:tab w:val="left" w:pos="2268"/>
              </w:tabs>
              <w:ind w:firstLine="0"/>
              <w:contextualSpacing/>
              <w:rPr>
                <w:rFonts w:asciiTheme="minorHAnsi" w:hAnsiTheme="minorHAnsi"/>
                <w:lang w:val="cs-CZ"/>
              </w:rPr>
            </w:pPr>
          </w:p>
        </w:tc>
      </w:tr>
      <w:tr w:rsidR="00F57CB8" w:rsidRPr="00AC77DB" w14:paraId="51EA98EF" w14:textId="77777777" w:rsidTr="00C76F82">
        <w:tc>
          <w:tcPr>
            <w:tcW w:w="2405" w:type="dxa"/>
            <w:shd w:val="clear" w:color="auto" w:fill="auto"/>
          </w:tcPr>
          <w:p w14:paraId="2100987A" w14:textId="77777777" w:rsidR="00F57CB8"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14:paraId="2EE63E23" w14:textId="77777777" w:rsidR="00F57CB8" w:rsidRPr="00AC77DB" w:rsidRDefault="00F57CB8" w:rsidP="00CB503C">
            <w:pPr>
              <w:tabs>
                <w:tab w:val="left" w:pos="2268"/>
              </w:tabs>
              <w:ind w:firstLine="0"/>
              <w:contextualSpacing/>
              <w:rPr>
                <w:rFonts w:asciiTheme="minorHAnsi" w:hAnsiTheme="minorHAnsi"/>
                <w:lang w:val="cs-CZ"/>
              </w:rPr>
            </w:pPr>
          </w:p>
        </w:tc>
      </w:tr>
      <w:tr w:rsidR="00D86AFE" w:rsidRPr="00AC77DB" w14:paraId="1B4FC52B" w14:textId="77777777" w:rsidTr="00C76F82">
        <w:trPr>
          <w:trHeight w:val="80"/>
        </w:trPr>
        <w:tc>
          <w:tcPr>
            <w:tcW w:w="2405" w:type="dxa"/>
            <w:shd w:val="clear" w:color="auto" w:fill="auto"/>
          </w:tcPr>
          <w:p w14:paraId="2FF9E8F5" w14:textId="77777777"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14:paraId="216ADA92" w14:textId="77777777" w:rsidR="00D86AFE" w:rsidRPr="00AC77DB" w:rsidRDefault="00D86AFE" w:rsidP="00CB503C">
            <w:pPr>
              <w:tabs>
                <w:tab w:val="left" w:pos="2268"/>
              </w:tabs>
              <w:ind w:firstLine="0"/>
              <w:contextualSpacing/>
              <w:rPr>
                <w:rFonts w:asciiTheme="minorHAnsi" w:hAnsiTheme="minorHAnsi"/>
                <w:lang w:val="cs-CZ"/>
              </w:rPr>
            </w:pPr>
          </w:p>
        </w:tc>
      </w:tr>
    </w:tbl>
    <w:p w14:paraId="5E4BC9F4" w14:textId="77777777" w:rsidR="00F57CB8" w:rsidRPr="00AC77DB" w:rsidRDefault="00F57CB8" w:rsidP="00CB503C">
      <w:pPr>
        <w:tabs>
          <w:tab w:val="left" w:pos="2268"/>
        </w:tabs>
        <w:ind w:left="851" w:hanging="425"/>
        <w:contextualSpacing/>
        <w:rPr>
          <w:rFonts w:asciiTheme="minorHAnsi" w:hAnsiTheme="minorHAnsi"/>
          <w:lang w:val="cs-CZ"/>
        </w:rPr>
      </w:pPr>
    </w:p>
    <w:p w14:paraId="1C8F6C7C" w14:textId="77777777"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14:paraId="008557D3" w14:textId="77777777" w:rsidTr="00D86AFE">
        <w:tc>
          <w:tcPr>
            <w:tcW w:w="8494" w:type="dxa"/>
            <w:gridSpan w:val="2"/>
            <w:shd w:val="clear" w:color="auto" w:fill="D9D9D9" w:themeFill="background1" w:themeFillShade="D9"/>
          </w:tcPr>
          <w:p w14:paraId="45419887" w14:textId="77777777"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14:paraId="54A4151E" w14:textId="77777777" w:rsidTr="00196D64">
        <w:tc>
          <w:tcPr>
            <w:tcW w:w="2405" w:type="dxa"/>
          </w:tcPr>
          <w:p w14:paraId="1686F8E5"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14:paraId="5307285B"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45ADA30C" w14:textId="77777777" w:rsidTr="00196D64">
        <w:tc>
          <w:tcPr>
            <w:tcW w:w="2405" w:type="dxa"/>
          </w:tcPr>
          <w:p w14:paraId="35CB1131"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14:paraId="4A5F50DA"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A29C2B1" w14:textId="77777777" w:rsidTr="00196D64">
        <w:tc>
          <w:tcPr>
            <w:tcW w:w="2405" w:type="dxa"/>
          </w:tcPr>
          <w:p w14:paraId="3154D3C2"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14:paraId="1E4C8F7F"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04B902C1" w14:textId="77777777" w:rsidTr="00196D64">
        <w:tc>
          <w:tcPr>
            <w:tcW w:w="2405" w:type="dxa"/>
          </w:tcPr>
          <w:p w14:paraId="2F1EEC0D"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14:paraId="505269FE"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32507DB6" w14:textId="77777777" w:rsidTr="00196D64">
        <w:tc>
          <w:tcPr>
            <w:tcW w:w="2405" w:type="dxa"/>
          </w:tcPr>
          <w:p w14:paraId="48AB528C"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14:paraId="6F8A93AE"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0E24A27C" w14:textId="77777777" w:rsidTr="00D86AFE">
        <w:tc>
          <w:tcPr>
            <w:tcW w:w="2405" w:type="dxa"/>
            <w:shd w:val="clear" w:color="auto" w:fill="FFFFFF" w:themeFill="background1"/>
          </w:tcPr>
          <w:p w14:paraId="54F38090"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14:paraId="1C97FF2A"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7A2E664C" w14:textId="77777777" w:rsidTr="00196D64">
        <w:tc>
          <w:tcPr>
            <w:tcW w:w="2405" w:type="dxa"/>
          </w:tcPr>
          <w:p w14:paraId="2E7A39AD"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14:paraId="22037864"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64DF504" w14:textId="77777777" w:rsidTr="00196D64">
        <w:tc>
          <w:tcPr>
            <w:tcW w:w="2405" w:type="dxa"/>
          </w:tcPr>
          <w:p w14:paraId="611766DF"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14:paraId="59D25D31"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5F56A177" w14:textId="77777777" w:rsidTr="00196D64">
        <w:tc>
          <w:tcPr>
            <w:tcW w:w="2405" w:type="dxa"/>
          </w:tcPr>
          <w:p w14:paraId="27BDA0F4"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14:paraId="30D465EA"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3D64E0B" w14:textId="77777777" w:rsidTr="00196D64">
        <w:tc>
          <w:tcPr>
            <w:tcW w:w="2405" w:type="dxa"/>
          </w:tcPr>
          <w:p w14:paraId="197D3BCF"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14:paraId="746C250D"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3B0325DC" w14:textId="77777777" w:rsidTr="00196D64">
        <w:tc>
          <w:tcPr>
            <w:tcW w:w="2405" w:type="dxa"/>
          </w:tcPr>
          <w:p w14:paraId="7F7CF29B"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14:paraId="777412D3"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14:paraId="02D0307C" w14:textId="77777777" w:rsidR="00F57CB8" w:rsidRPr="00AC77DB" w:rsidRDefault="00F57CB8" w:rsidP="00CB503C">
      <w:pPr>
        <w:tabs>
          <w:tab w:val="left" w:pos="2268"/>
        </w:tabs>
        <w:ind w:left="851" w:hanging="425"/>
        <w:contextualSpacing/>
        <w:rPr>
          <w:rFonts w:asciiTheme="minorHAnsi" w:hAnsiTheme="minorHAnsi"/>
          <w:lang w:val="cs-CZ"/>
        </w:rPr>
      </w:pPr>
    </w:p>
    <w:p w14:paraId="07E0A412" w14:textId="77777777" w:rsidR="00D86AFE" w:rsidRPr="00AC77DB" w:rsidRDefault="00D86AFE" w:rsidP="00CB503C">
      <w:pPr>
        <w:tabs>
          <w:tab w:val="left" w:pos="2268"/>
        </w:tabs>
        <w:ind w:left="851" w:hanging="425"/>
        <w:contextualSpacing/>
        <w:rPr>
          <w:rFonts w:asciiTheme="minorHAnsi" w:hAnsiTheme="minorHAnsi"/>
          <w:lang w:val="cs-CZ"/>
        </w:rPr>
      </w:pPr>
    </w:p>
    <w:p w14:paraId="500301A9" w14:textId="77777777" w:rsidR="00D86AFE" w:rsidRPr="00AC77DB" w:rsidRDefault="00D86AFE" w:rsidP="00CB503C">
      <w:pPr>
        <w:tabs>
          <w:tab w:val="left" w:pos="2268"/>
        </w:tabs>
        <w:ind w:left="851" w:hanging="425"/>
        <w:contextualSpacing/>
        <w:rPr>
          <w:rFonts w:asciiTheme="minorHAnsi" w:hAnsiTheme="minorHAnsi"/>
          <w:lang w:val="cs-CZ"/>
        </w:rPr>
      </w:pPr>
    </w:p>
    <w:p w14:paraId="1E6386EE" w14:textId="77777777"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14:paraId="6B3C1B25" w14:textId="77777777"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proofErr w:type="spellStart"/>
      <w:r w:rsidR="00DA11C6" w:rsidRPr="00AC77DB">
        <w:rPr>
          <w:rFonts w:asciiTheme="minorHAnsi" w:hAnsiTheme="minorHAnsi"/>
          <w:b/>
          <w:lang w:val="cs-CZ"/>
        </w:rPr>
        <w:t>SoD</w:t>
      </w:r>
      <w:proofErr w:type="spellEnd"/>
      <w:r w:rsidR="00DA11C6" w:rsidRPr="00AC77DB">
        <w:rPr>
          <w:rFonts w:asciiTheme="minorHAnsi" w:hAnsiTheme="minorHAnsi"/>
          <w:b/>
          <w:lang w:val="cs-CZ"/>
        </w:rPr>
        <w:t>“)</w:t>
      </w:r>
    </w:p>
    <w:p w14:paraId="7BEA4D9A" w14:textId="77777777"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14:paraId="0C037066" w14:textId="77777777" w:rsidR="00D86AFE" w:rsidRPr="00AC77DB" w:rsidRDefault="00D86AFE" w:rsidP="00D86AFE">
      <w:pPr>
        <w:spacing w:before="120" w:line="240" w:lineRule="atLeast"/>
        <w:ind w:left="851" w:hanging="425"/>
        <w:contextualSpacing/>
        <w:jc w:val="center"/>
        <w:rPr>
          <w:rFonts w:asciiTheme="minorHAnsi" w:hAnsiTheme="minorHAnsi"/>
          <w:b/>
          <w:caps/>
          <w:lang w:val="cs-CZ"/>
        </w:rPr>
      </w:pPr>
    </w:p>
    <w:p w14:paraId="24810A4C" w14:textId="02864415" w:rsidR="00D86AFE" w:rsidRPr="00AC77DB" w:rsidRDefault="00DE5D0A" w:rsidP="00CB503C">
      <w:pPr>
        <w:tabs>
          <w:tab w:val="left" w:pos="567"/>
        </w:tabs>
        <w:spacing w:before="120"/>
        <w:ind w:left="851" w:hanging="425"/>
        <w:contextualSpacing/>
        <w:jc w:val="center"/>
        <w:rPr>
          <w:rFonts w:asciiTheme="minorHAnsi" w:hAnsiTheme="minorHAnsi"/>
          <w:b/>
          <w:spacing w:val="-4"/>
          <w:lang w:val="cs-CZ"/>
        </w:rPr>
      </w:pPr>
      <w:r w:rsidRPr="000D0A3B">
        <w:rPr>
          <w:b/>
          <w:caps/>
          <w:color w:val="000000"/>
        </w:rPr>
        <w:t>„Rekonstrukce a přístavba stávající knihovny v Hranicích u Aše“</w:t>
      </w:r>
    </w:p>
    <w:p w14:paraId="0574B9B0"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6A0451A1"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42BC6C46"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AC77DB" w:rsidRDefault="00E5539B" w:rsidP="005A3276">
      <w:pPr>
        <w:spacing w:before="120" w:after="120"/>
        <w:ind w:firstLine="709"/>
        <w:jc w:val="center"/>
        <w:rPr>
          <w:b/>
          <w:caps/>
          <w:lang w:val="cs-CZ"/>
        </w:rPr>
      </w:pPr>
      <w:r w:rsidRPr="00AC77DB">
        <w:rPr>
          <w:b/>
          <w:caps/>
          <w:lang w:val="cs-CZ"/>
        </w:rPr>
        <w:t>Základní ustanovení</w:t>
      </w:r>
    </w:p>
    <w:p w14:paraId="13AEFCC8" w14:textId="77777777"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14:paraId="3B244D56" w14:textId="49424EA8" w:rsidR="00174B16" w:rsidRPr="00DE5D0A" w:rsidRDefault="009811A5" w:rsidP="00174B16">
      <w:pPr>
        <w:numPr>
          <w:ilvl w:val="0"/>
          <w:numId w:val="5"/>
        </w:numPr>
        <w:spacing w:after="120"/>
        <w:ind w:left="714" w:hanging="357"/>
        <w:jc w:val="both"/>
        <w:rPr>
          <w:lang w:val="cs-CZ"/>
        </w:rPr>
      </w:pPr>
      <w:r w:rsidRPr="00DE5D0A">
        <w:rPr>
          <w:rFonts w:asciiTheme="minorHAnsi" w:hAnsiTheme="minorHAnsi"/>
          <w:lang w:val="cs-CZ"/>
        </w:rPr>
        <w:t>Zakázka</w:t>
      </w:r>
      <w:r w:rsidR="00174B16" w:rsidRPr="00DE5D0A">
        <w:rPr>
          <w:rFonts w:asciiTheme="minorHAnsi" w:hAnsiTheme="minorHAnsi"/>
          <w:lang w:val="cs-CZ"/>
        </w:rPr>
        <w:t>,</w:t>
      </w:r>
      <w:r w:rsidR="00174B16" w:rsidRPr="00DE5D0A">
        <w:rPr>
          <w:lang w:val="cs-CZ"/>
        </w:rPr>
        <w:t xml:space="preserve"> </w:t>
      </w:r>
      <w:r w:rsidR="00265400" w:rsidRPr="00DE5D0A">
        <w:rPr>
          <w:lang w:val="cs-CZ"/>
        </w:rPr>
        <w:t xml:space="preserve">v rámci projektu: </w:t>
      </w:r>
      <w:r w:rsidR="00296C68" w:rsidRPr="00DE5D0A">
        <w:rPr>
          <w:color w:val="000000"/>
          <w:lang w:val="cs-CZ"/>
        </w:rPr>
        <w:t>„</w:t>
      </w:r>
      <w:r w:rsidR="00DE5D0A" w:rsidRPr="00DE5D0A">
        <w:rPr>
          <w:color w:val="000000"/>
        </w:rPr>
        <w:t>Rekonstrukce a přístavba stávající knihovny v Hranicích u Aše</w:t>
      </w:r>
      <w:r w:rsidR="00296C68" w:rsidRPr="00DE5D0A">
        <w:rPr>
          <w:color w:val="000000"/>
          <w:lang w:val="cs-CZ"/>
        </w:rPr>
        <w:t>“,</w:t>
      </w:r>
      <w:r w:rsidR="00265400" w:rsidRPr="00DE5D0A">
        <w:rPr>
          <w:lang w:val="cs-CZ"/>
        </w:rPr>
        <w:t xml:space="preserve"> registrační číslo: </w:t>
      </w:r>
      <w:r w:rsidR="00DE5D0A" w:rsidRPr="00DE5D0A">
        <w:t>CZ.1.09/2.2.00/70.01087</w:t>
      </w:r>
      <w:r w:rsidR="00174B16" w:rsidRPr="00DE5D0A">
        <w:rPr>
          <w:lang w:val="cs-CZ"/>
        </w:rPr>
        <w:t>,</w:t>
      </w:r>
      <w:r w:rsidRPr="00DE5D0A">
        <w:rPr>
          <w:rFonts w:asciiTheme="minorHAnsi" w:hAnsiTheme="minorHAnsi"/>
          <w:lang w:val="cs-CZ"/>
        </w:rPr>
        <w:t xml:space="preserve"> je financována ze zdrojů EU, konkrétně z Evropského fondu pro regionální rozvoj v rámci Regionálního operačního programu regionu soudržnosti Severozápad pro období</w:t>
      </w:r>
      <w:r w:rsidR="00174B16" w:rsidRPr="00DE5D0A">
        <w:rPr>
          <w:rFonts w:asciiTheme="minorHAnsi" w:hAnsiTheme="minorHAnsi"/>
          <w:lang w:val="cs-CZ"/>
        </w:rPr>
        <w:t xml:space="preserve"> 2007-2013 (dále jen „ROP SZ“)</w:t>
      </w:r>
      <w:r w:rsidR="004905D4" w:rsidRPr="00DE5D0A">
        <w:rPr>
          <w:rFonts w:asciiTheme="minorHAnsi" w:hAnsiTheme="minorHAnsi"/>
          <w:lang w:val="cs-CZ"/>
        </w:rPr>
        <w:t>.</w:t>
      </w:r>
    </w:p>
    <w:p w14:paraId="7AB7BD6C" w14:textId="77777777" w:rsidR="00D86AFE" w:rsidRPr="00AC77DB"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AC77DB" w:rsidRDefault="0098797B" w:rsidP="0098797B">
      <w:pPr>
        <w:tabs>
          <w:tab w:val="num" w:pos="851"/>
          <w:tab w:val="left" w:pos="993"/>
          <w:tab w:val="left" w:pos="4536"/>
        </w:tabs>
        <w:overflowPunct w:val="0"/>
        <w:autoSpaceDE w:val="0"/>
        <w:autoSpaceDN w:val="0"/>
        <w:adjustRightInd w:val="0"/>
        <w:spacing w:line="240" w:lineRule="atLeast"/>
        <w:ind w:firstLine="851"/>
        <w:jc w:val="center"/>
        <w:textAlignment w:val="baseline"/>
        <w:rPr>
          <w:b/>
          <w:lang w:val="cs-CZ"/>
        </w:rPr>
      </w:pPr>
      <w:r w:rsidRPr="00AC77DB">
        <w:rPr>
          <w:b/>
          <w:caps/>
          <w:lang w:val="cs-CZ"/>
        </w:rPr>
        <w:t>Č</w:t>
      </w:r>
      <w:r w:rsidRPr="00AC77DB">
        <w:rPr>
          <w:b/>
          <w:lang w:val="cs-CZ"/>
        </w:rPr>
        <w:t>lánek 2.</w:t>
      </w:r>
    </w:p>
    <w:p w14:paraId="4B1F8DA6" w14:textId="77777777" w:rsidR="00CB503C" w:rsidRPr="00AC77DB" w:rsidRDefault="00CB503C" w:rsidP="005A3276">
      <w:pPr>
        <w:spacing w:after="0"/>
        <w:ind w:firstLine="851"/>
        <w:jc w:val="center"/>
        <w:rPr>
          <w:b/>
          <w:caps/>
          <w:lang w:val="cs-CZ"/>
        </w:rPr>
      </w:pPr>
      <w:r w:rsidRPr="00AC77DB">
        <w:rPr>
          <w:b/>
          <w:caps/>
          <w:lang w:val="cs-CZ"/>
        </w:rPr>
        <w:t>PŘEDMĚT SMLOUVY</w:t>
      </w:r>
    </w:p>
    <w:p w14:paraId="1489E5F6" w14:textId="77777777"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77777777" w:rsidR="0024214C" w:rsidRPr="00AC77DB"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cs="Arial"/>
          <w:lang w:val="cs-CZ"/>
        </w:rPr>
        <w:t>Veškeré práce, činnosti a dodávky v rámci předmětu díla budou prováděn</w:t>
      </w:r>
      <w:r w:rsidR="002E1D45" w:rsidRPr="00AC77DB">
        <w:rPr>
          <w:rFonts w:cs="Arial"/>
          <w:lang w:val="cs-CZ"/>
        </w:rPr>
        <w:t>y</w:t>
      </w:r>
      <w:r w:rsidRPr="00AC77DB">
        <w:rPr>
          <w:rFonts w:cs="Arial"/>
          <w:lang w:val="cs-CZ"/>
        </w:rPr>
        <w:t xml:space="preserve"> </w:t>
      </w:r>
      <w:r w:rsidR="002E1D45" w:rsidRPr="00AC77DB">
        <w:rPr>
          <w:rFonts w:cs="Arial"/>
          <w:lang w:val="cs-CZ"/>
        </w:rPr>
        <w:t xml:space="preserve">také </w:t>
      </w:r>
      <w:r w:rsidRPr="00AC77DB">
        <w:rPr>
          <w:rFonts w:cs="Arial"/>
          <w:lang w:val="cs-CZ"/>
        </w:rPr>
        <w:t>v souladu s relevantními dokumenty ROP SZ, zejména pak s Příručkou pro žadatele a Příručkou pro příjemce podpory v ROP SZ.</w:t>
      </w:r>
    </w:p>
    <w:p w14:paraId="1FD8F92C" w14:textId="20FC7F39" w:rsidR="006C5DA9" w:rsidRPr="00AC77DB" w:rsidRDefault="00DE5D0A"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Předmětem díla je</w:t>
      </w:r>
      <w:r w:rsidRPr="00910188">
        <w:rPr>
          <w:rFonts w:cs="Arial"/>
        </w:rPr>
        <w:t xml:space="preserve"> </w:t>
      </w:r>
      <w:r w:rsidRPr="00910188">
        <w:rPr>
          <w:color w:val="000000"/>
        </w:rPr>
        <w:t>rekonstrukce a přístavba stávajícího objektu knihovny a úprava vstupu pro imobilní občany</w:t>
      </w:r>
      <w:r w:rsidR="00296C68" w:rsidRPr="00AC77DB">
        <w:rPr>
          <w:color w:val="000000"/>
          <w:lang w:val="cs-CZ"/>
        </w:rPr>
        <w:t xml:space="preserve">. </w:t>
      </w:r>
      <w:r w:rsidR="00280AD9" w:rsidRPr="00AC77DB">
        <w:rPr>
          <w:rFonts w:cs="Arial"/>
          <w:lang w:val="cs-CZ"/>
        </w:rPr>
        <w:t xml:space="preserve">Dílo bude provedeno v </w:t>
      </w:r>
      <w:r w:rsidR="006C5DA9" w:rsidRPr="00AC77DB">
        <w:rPr>
          <w:rFonts w:asciiTheme="minorHAnsi" w:hAnsiTheme="minorHAnsi"/>
          <w:lang w:val="cs-CZ"/>
        </w:rPr>
        <w:t xml:space="preserve">souladu s projektovou dokumentací a obecně závaznými technickými podmínkami uvedených v právních a technických předpisech, ČSN a EN. </w:t>
      </w:r>
    </w:p>
    <w:p w14:paraId="61DBBFA2" w14:textId="77777777" w:rsidR="006C5DA9" w:rsidRPr="00AC77DB"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cs="Arial"/>
          <w:u w:val="single"/>
          <w:lang w:val="cs-CZ"/>
        </w:rPr>
        <w:t>Předmětem plnění jsou tyto dílčí zakázky:</w:t>
      </w:r>
    </w:p>
    <w:p w14:paraId="3F246A59" w14:textId="77777777" w:rsidR="00DE5D0A" w:rsidRPr="00910188" w:rsidRDefault="00DE5D0A" w:rsidP="00DE5D0A">
      <w:pPr>
        <w:pStyle w:val="Zkladntext"/>
        <w:numPr>
          <w:ilvl w:val="0"/>
          <w:numId w:val="44"/>
        </w:numPr>
        <w:spacing w:after="0"/>
        <w:ind w:left="1134" w:hanging="283"/>
        <w:jc w:val="both"/>
      </w:pPr>
      <w:r w:rsidRPr="00910188">
        <w:t>rozšíření stávající budovy o výpůjční prostor a hlavní vstup</w:t>
      </w:r>
      <w:r w:rsidRPr="00910188">
        <w:rPr>
          <w:lang w:val="cs-CZ"/>
        </w:rPr>
        <w:t>,</w:t>
      </w:r>
    </w:p>
    <w:p w14:paraId="7310BA69" w14:textId="77777777" w:rsidR="00DE5D0A" w:rsidRPr="00910188" w:rsidRDefault="00DE5D0A" w:rsidP="00DE5D0A">
      <w:pPr>
        <w:pStyle w:val="Zkladntext"/>
        <w:numPr>
          <w:ilvl w:val="0"/>
          <w:numId w:val="44"/>
        </w:numPr>
        <w:spacing w:after="0"/>
        <w:ind w:left="1134" w:hanging="283"/>
        <w:jc w:val="both"/>
      </w:pPr>
      <w:r w:rsidRPr="00910188">
        <w:t>nové zastřešení celého objektu sedlovou střechou</w:t>
      </w:r>
      <w:r w:rsidRPr="00910188">
        <w:rPr>
          <w:lang w:val="cs-CZ"/>
        </w:rPr>
        <w:t>,</w:t>
      </w:r>
    </w:p>
    <w:p w14:paraId="63CC456E" w14:textId="77777777" w:rsidR="00DE5D0A" w:rsidRPr="00910188" w:rsidRDefault="00DE5D0A" w:rsidP="00DE5D0A">
      <w:pPr>
        <w:pStyle w:val="Zkladntext"/>
        <w:numPr>
          <w:ilvl w:val="0"/>
          <w:numId w:val="44"/>
        </w:numPr>
        <w:spacing w:after="0"/>
        <w:ind w:left="1134" w:hanging="283"/>
        <w:jc w:val="both"/>
      </w:pPr>
      <w:r w:rsidRPr="00910188">
        <w:t>výměn</w:t>
      </w:r>
      <w:r w:rsidRPr="00910188">
        <w:rPr>
          <w:lang w:val="cs-CZ"/>
        </w:rPr>
        <w:t>a</w:t>
      </w:r>
      <w:r w:rsidRPr="00910188">
        <w:t xml:space="preserve"> stávajících oken,</w:t>
      </w:r>
    </w:p>
    <w:p w14:paraId="2E906D65" w14:textId="77777777" w:rsidR="00DE5D0A" w:rsidRPr="00910188" w:rsidRDefault="00DE5D0A" w:rsidP="00DE5D0A">
      <w:pPr>
        <w:pStyle w:val="Zkladntext"/>
        <w:numPr>
          <w:ilvl w:val="0"/>
          <w:numId w:val="44"/>
        </w:numPr>
        <w:spacing w:after="0"/>
        <w:ind w:left="1134" w:hanging="283"/>
        <w:jc w:val="both"/>
      </w:pPr>
      <w:r w:rsidRPr="00910188">
        <w:t>nov</w:t>
      </w:r>
      <w:r w:rsidRPr="00910188">
        <w:rPr>
          <w:lang w:val="cs-CZ"/>
        </w:rPr>
        <w:t>á</w:t>
      </w:r>
      <w:r w:rsidRPr="00910188">
        <w:t xml:space="preserve"> fasád</w:t>
      </w:r>
      <w:r w:rsidRPr="00910188">
        <w:rPr>
          <w:lang w:val="cs-CZ"/>
        </w:rPr>
        <w:t>a</w:t>
      </w:r>
      <w:r w:rsidRPr="00910188">
        <w:t xml:space="preserve"> celého objektu včetně zateplení</w:t>
      </w:r>
      <w:r w:rsidRPr="00910188">
        <w:rPr>
          <w:lang w:val="cs-CZ"/>
        </w:rPr>
        <w:t>,</w:t>
      </w:r>
    </w:p>
    <w:p w14:paraId="75C18CC3" w14:textId="77777777" w:rsidR="00DE5D0A" w:rsidRPr="00910188" w:rsidRDefault="00DE5D0A" w:rsidP="00DE5D0A">
      <w:pPr>
        <w:pStyle w:val="Zkladntext"/>
        <w:numPr>
          <w:ilvl w:val="0"/>
          <w:numId w:val="44"/>
        </w:numPr>
        <w:spacing w:after="0"/>
        <w:ind w:left="1134" w:hanging="283"/>
        <w:jc w:val="both"/>
      </w:pPr>
      <w:r w:rsidRPr="00910188">
        <w:t>vytvoření nového sociálního zázemí pro veřejnost a personál,</w:t>
      </w:r>
    </w:p>
    <w:p w14:paraId="1D420336" w14:textId="77777777" w:rsidR="00DE5D0A" w:rsidRPr="00910188" w:rsidRDefault="00DE5D0A" w:rsidP="00DE5D0A">
      <w:pPr>
        <w:pStyle w:val="Zkladntext"/>
        <w:numPr>
          <w:ilvl w:val="0"/>
          <w:numId w:val="44"/>
        </w:numPr>
        <w:overflowPunct w:val="0"/>
        <w:autoSpaceDE w:val="0"/>
        <w:autoSpaceDN w:val="0"/>
        <w:adjustRightInd w:val="0"/>
        <w:spacing w:after="0"/>
        <w:ind w:left="1134" w:hanging="283"/>
        <w:jc w:val="both"/>
        <w:textAlignment w:val="baseline"/>
        <w:rPr>
          <w:color w:val="000000"/>
        </w:rPr>
      </w:pPr>
      <w:r w:rsidRPr="00910188">
        <w:t>modernizac</w:t>
      </w:r>
      <w:r w:rsidRPr="00910188">
        <w:rPr>
          <w:lang w:val="cs-CZ"/>
        </w:rPr>
        <w:t>e</w:t>
      </w:r>
      <w:r w:rsidRPr="00910188">
        <w:t xml:space="preserve"> stávajících prostorů</w:t>
      </w:r>
      <w:r w:rsidRPr="00910188">
        <w:rPr>
          <w:lang w:val="cs-CZ"/>
        </w:rPr>
        <w:t>.</w:t>
      </w:r>
    </w:p>
    <w:p w14:paraId="6F1120C5" w14:textId="77777777" w:rsidR="0004771F" w:rsidRPr="00AC77DB" w:rsidRDefault="0004771F" w:rsidP="0004771F">
      <w:pPr>
        <w:autoSpaceDE w:val="0"/>
        <w:autoSpaceDN w:val="0"/>
        <w:adjustRightInd w:val="0"/>
        <w:rPr>
          <w:rFonts w:cs="ArialNarrow"/>
          <w:sz w:val="10"/>
          <w:szCs w:val="10"/>
          <w:lang w:val="cs-CZ" w:eastAsia="cs-CZ"/>
        </w:rPr>
      </w:pPr>
    </w:p>
    <w:p w14:paraId="0CBD3E7C" w14:textId="2ED66B34"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14:paraId="5312D848" w14:textId="77777777"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14:paraId="15002383" w14:textId="77777777"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14:paraId="415F0253"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14:paraId="74E90AA8"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14:paraId="2B4ACD70"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14:paraId="6FB805A5" w14:textId="77777777"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14:paraId="01BD817B" w14:textId="77777777" w:rsidR="00045EF2" w:rsidRPr="00AC77DB" w:rsidRDefault="00045EF2" w:rsidP="00C97B43">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AC77DB">
        <w:rPr>
          <w:rFonts w:cs="Arial"/>
          <w:u w:val="single"/>
          <w:lang w:val="cs-CZ" w:eastAsia="cs-CZ"/>
        </w:rPr>
        <w:t>Součástí předmětu plnění je i zajištění po</w:t>
      </w:r>
      <w:r w:rsidR="002E1D45" w:rsidRPr="00AC77DB">
        <w:rPr>
          <w:rFonts w:cs="Arial"/>
          <w:u w:val="single"/>
          <w:lang w:val="cs-CZ" w:eastAsia="cs-CZ"/>
        </w:rPr>
        <w:t>vinné publicity veřejné zakázky:</w:t>
      </w:r>
    </w:p>
    <w:p w14:paraId="5E1D0CF2" w14:textId="77777777" w:rsidR="00CB4050" w:rsidRPr="00AC77DB" w:rsidRDefault="00CB4050" w:rsidP="00CB4050">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14:paraId="1B8681C6" w14:textId="77777777" w:rsidR="0024214C" w:rsidRPr="00AC77DB" w:rsidRDefault="002E1D45" w:rsidP="00C97B43">
      <w:pPr>
        <w:pStyle w:val="Odstavecseseznamem"/>
        <w:numPr>
          <w:ilvl w:val="0"/>
          <w:numId w:val="25"/>
        </w:numPr>
        <w:ind w:left="1276" w:hanging="425"/>
        <w:jc w:val="both"/>
        <w:rPr>
          <w:lang w:val="cs-CZ"/>
        </w:rPr>
      </w:pPr>
      <w:r w:rsidRPr="00AC77DB">
        <w:rPr>
          <w:lang w:val="cs-CZ"/>
        </w:rPr>
        <w:t xml:space="preserve">v </w:t>
      </w:r>
      <w:r w:rsidR="00045EF2" w:rsidRPr="00AC77DB">
        <w:rPr>
          <w:lang w:val="cs-CZ"/>
        </w:rPr>
        <w:t xml:space="preserve">rámci informování o realizaci projektu za finanční spoluúčasti EU je součástí </w:t>
      </w:r>
      <w:r w:rsidRPr="00AC77DB">
        <w:rPr>
          <w:lang w:val="cs-CZ"/>
        </w:rPr>
        <w:t>předmětu plnění</w:t>
      </w:r>
      <w:r w:rsidR="00045EF2" w:rsidRPr="00AC77DB">
        <w:rPr>
          <w:lang w:val="cs-CZ"/>
        </w:rPr>
        <w:t xml:space="preserve">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w:t>
      </w:r>
      <w:r w:rsidR="00045EF2" w:rsidRPr="00AC77DB">
        <w:rPr>
          <w:lang w:val="cs-CZ"/>
        </w:rPr>
        <w:lastRenderedPageBreak/>
        <w:t>jen „Závazné pokyny“), ve standardu podle grafického manuálu povinné publicity pro ROP SZ.</w:t>
      </w:r>
      <w:r w:rsidR="000F0FC0" w:rsidRPr="00AC77DB">
        <w:rPr>
          <w:lang w:val="cs-CZ"/>
        </w:rPr>
        <w:t xml:space="preserve"> Grafický návrh informačních panelů a pamětních desek </w:t>
      </w:r>
      <w:r w:rsidR="000F0FC0" w:rsidRPr="00AC77DB">
        <w:rPr>
          <w:rFonts w:cs="Arial"/>
          <w:lang w:val="cs-CZ"/>
        </w:rPr>
        <w:t>podléhá schválení zadavatele</w:t>
      </w:r>
      <w:r w:rsidR="000F0FC0" w:rsidRPr="00AC77DB">
        <w:rPr>
          <w:lang w:val="cs-CZ"/>
        </w:rPr>
        <w:t>.</w:t>
      </w:r>
    </w:p>
    <w:p w14:paraId="122D5BF4" w14:textId="77777777" w:rsidR="006C5DA9" w:rsidRPr="00AC77DB" w:rsidRDefault="006C5DA9" w:rsidP="00C97B43">
      <w:pPr>
        <w:pStyle w:val="Odstavecseseznamem"/>
        <w:numPr>
          <w:ilvl w:val="0"/>
          <w:numId w:val="25"/>
        </w:numPr>
        <w:ind w:left="1276" w:hanging="425"/>
        <w:jc w:val="both"/>
        <w:rPr>
          <w:lang w:val="cs-CZ"/>
        </w:rPr>
      </w:pPr>
      <w:r w:rsidRPr="00AC77DB">
        <w:rPr>
          <w:lang w:val="cs-CZ"/>
        </w:rPr>
        <w:t xml:space="preserve">Dodavatel ihned po předání staveniště dodá a instaluje </w:t>
      </w:r>
      <w:r w:rsidR="004905D4" w:rsidRPr="00AC77DB">
        <w:rPr>
          <w:lang w:val="cs-CZ"/>
        </w:rPr>
        <w:t>1</w:t>
      </w:r>
      <w:r w:rsidRPr="00AC77DB">
        <w:rPr>
          <w:lang w:val="cs-CZ"/>
        </w:rPr>
        <w:t xml:space="preserve"> ks velkoplošn</w:t>
      </w:r>
      <w:r w:rsidR="001715E1" w:rsidRPr="00AC77DB">
        <w:rPr>
          <w:lang w:val="cs-CZ"/>
        </w:rPr>
        <w:t>ého</w:t>
      </w:r>
      <w:r w:rsidRPr="00AC77DB">
        <w:rPr>
          <w:lang w:val="cs-CZ"/>
        </w:rPr>
        <w:t xml:space="preserve"> informační</w:t>
      </w:r>
      <w:r w:rsidR="001715E1" w:rsidRPr="00AC77DB">
        <w:rPr>
          <w:lang w:val="cs-CZ"/>
        </w:rPr>
        <w:t>ho</w:t>
      </w:r>
      <w:r w:rsidRPr="00AC77DB">
        <w:rPr>
          <w:lang w:val="cs-CZ"/>
        </w:rPr>
        <w:t xml:space="preserve"> panel</w:t>
      </w:r>
      <w:r w:rsidR="001715E1" w:rsidRPr="00AC77DB">
        <w:rPr>
          <w:lang w:val="cs-CZ"/>
        </w:rPr>
        <w:t>u</w:t>
      </w:r>
      <w:r w:rsidRPr="00AC77DB">
        <w:rPr>
          <w:lang w:val="cs-CZ"/>
        </w:rPr>
        <w:t xml:space="preserve"> o rozměrech 5,1 x 2,4 m a při předání stavby dodá a zajistí umístění </w:t>
      </w:r>
      <w:r w:rsidR="004905D4" w:rsidRPr="00AC77DB">
        <w:rPr>
          <w:lang w:val="cs-CZ"/>
        </w:rPr>
        <w:t>1</w:t>
      </w:r>
      <w:r w:rsidR="00174B16" w:rsidRPr="00AC77DB">
        <w:rPr>
          <w:lang w:val="cs-CZ"/>
        </w:rPr>
        <w:t xml:space="preserve"> ks</w:t>
      </w:r>
      <w:r w:rsidRPr="00AC77DB">
        <w:rPr>
          <w:lang w:val="cs-CZ"/>
        </w:rPr>
        <w:t xml:space="preserve"> trval</w:t>
      </w:r>
      <w:r w:rsidR="001715E1" w:rsidRPr="00AC77DB">
        <w:rPr>
          <w:lang w:val="cs-CZ"/>
        </w:rPr>
        <w:t>é</w:t>
      </w:r>
      <w:r w:rsidRPr="00AC77DB">
        <w:rPr>
          <w:lang w:val="cs-CZ"/>
        </w:rPr>
        <w:t xml:space="preserve"> pamětní des</w:t>
      </w:r>
      <w:r w:rsidR="001715E1" w:rsidRPr="00AC77DB">
        <w:rPr>
          <w:lang w:val="cs-CZ"/>
        </w:rPr>
        <w:t>ky</w:t>
      </w:r>
      <w:r w:rsidRPr="00AC77DB">
        <w:rPr>
          <w:lang w:val="cs-CZ"/>
        </w:rPr>
        <w:t xml:space="preserve"> o rozměrech 300 x 400 mm.</w:t>
      </w:r>
    </w:p>
    <w:p w14:paraId="712D5D01" w14:textId="77777777" w:rsidR="002E1D45" w:rsidRPr="00AC77DB" w:rsidRDefault="002E1D45" w:rsidP="002E1D45">
      <w:pPr>
        <w:pStyle w:val="Odstavecseseznamem"/>
        <w:ind w:left="1276" w:firstLine="0"/>
        <w:jc w:val="both"/>
        <w:rPr>
          <w:sz w:val="6"/>
          <w:szCs w:val="6"/>
          <w:lang w:val="cs-CZ"/>
        </w:rPr>
      </w:pPr>
    </w:p>
    <w:p w14:paraId="7455E67F" w14:textId="77777777"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14:paraId="1E788F26" w14:textId="77777777"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14:paraId="4D04FC8D" w14:textId="77777777"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14:paraId="535979B9" w14:textId="77777777" w:rsidR="00EF7463" w:rsidRPr="00AC77DB" w:rsidRDefault="00EF7463" w:rsidP="00EF7463">
      <w:pPr>
        <w:spacing w:after="0"/>
        <w:ind w:left="1210" w:firstLine="0"/>
        <w:jc w:val="both"/>
        <w:rPr>
          <w:rFonts w:asciiTheme="majorHAnsi" w:hAnsiTheme="majorHAnsi"/>
          <w:sz w:val="6"/>
          <w:szCs w:val="6"/>
          <w:lang w:val="cs-CZ"/>
        </w:rPr>
      </w:pPr>
    </w:p>
    <w:p w14:paraId="2A9F9982" w14:textId="77777777"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14:paraId="47D0C7E6" w14:textId="77777777"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dokumentaci skutečného provedení díla, tj. zakreslení a potvrzení provedených změn a odchylek do 3 </w:t>
      </w:r>
      <w:proofErr w:type="spellStart"/>
      <w:r w:rsidRPr="00AC77DB">
        <w:rPr>
          <w:rFonts w:asciiTheme="majorHAnsi" w:hAnsiTheme="majorHAnsi"/>
          <w:lang w:val="cs-CZ"/>
        </w:rPr>
        <w:t>paré</w:t>
      </w:r>
      <w:proofErr w:type="spellEnd"/>
      <w:r w:rsidRPr="00AC77DB">
        <w:rPr>
          <w:rFonts w:asciiTheme="majorHAnsi" w:hAnsiTheme="majorHAnsi"/>
          <w:lang w:val="cs-CZ"/>
        </w:rPr>
        <w:t xml:space="preserve"> projektové dokumentace + elektronicky na datovém nosiči,</w:t>
      </w:r>
    </w:p>
    <w:p w14:paraId="2F919AD2" w14:textId="77777777"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zkoušky</w:t>
      </w:r>
      <w:r w:rsidR="00BE7AA0" w:rsidRPr="00AC77DB">
        <w:rPr>
          <w:rFonts w:asciiTheme="majorHAnsi" w:hAnsiTheme="majorHAnsi"/>
          <w:lang w:val="cs-CZ"/>
        </w:rPr>
        <w:t xml:space="preserve"> a revize předepsané projektem </w:t>
      </w:r>
      <w:r w:rsidRPr="00AC77DB">
        <w:rPr>
          <w:rFonts w:asciiTheme="majorHAnsi" w:hAnsiTheme="majorHAnsi"/>
          <w:lang w:val="cs-CZ"/>
        </w:rPr>
        <w:t>nebo ty, jejichž nutnost provedení</w:t>
      </w:r>
      <w:r w:rsidR="002E1D45" w:rsidRPr="00AC77DB">
        <w:rPr>
          <w:rFonts w:asciiTheme="majorHAnsi" w:hAnsiTheme="majorHAnsi"/>
          <w:lang w:val="cs-CZ"/>
        </w:rPr>
        <w:t xml:space="preserve"> vyplývá z technických norem a </w:t>
      </w:r>
      <w:r w:rsidRPr="00AC77DB">
        <w:rPr>
          <w:rFonts w:asciiTheme="majorHAnsi" w:hAnsiTheme="majorHAnsi"/>
          <w:lang w:val="cs-CZ"/>
        </w:rPr>
        <w:t xml:space="preserve">předpisů, </w:t>
      </w:r>
    </w:p>
    <w:p w14:paraId="7FED4313" w14:textId="77777777"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14:paraId="4C333978" w14:textId="77777777"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14:paraId="64309D50" w14:textId="77777777" w:rsidR="00EF7463" w:rsidRPr="00AC77DB" w:rsidRDefault="00EF7463" w:rsidP="00EF7463">
      <w:pPr>
        <w:spacing w:after="0"/>
        <w:ind w:left="1210" w:firstLine="0"/>
        <w:jc w:val="both"/>
        <w:rPr>
          <w:rFonts w:asciiTheme="majorHAnsi" w:hAnsiTheme="majorHAnsi"/>
          <w:sz w:val="6"/>
          <w:szCs w:val="6"/>
          <w:lang w:val="cs-CZ"/>
        </w:rPr>
      </w:pPr>
    </w:p>
    <w:p w14:paraId="380FF568" w14:textId="4F638E07" w:rsidR="00E5539B" w:rsidRPr="00AC77DB"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cs="Arial"/>
          <w:u w:val="single"/>
          <w:lang w:val="cs-CZ"/>
        </w:rPr>
        <w:t>Místo plnění zakázky</w:t>
      </w:r>
      <w:r w:rsidR="0004771F" w:rsidRPr="00AC77DB">
        <w:rPr>
          <w:rFonts w:cs="Arial"/>
          <w:lang w:val="cs-CZ"/>
        </w:rPr>
        <w:t xml:space="preserve"> se nachází</w:t>
      </w:r>
      <w:r w:rsidR="0004771F" w:rsidRPr="00AC77DB">
        <w:rPr>
          <w:color w:val="000000"/>
          <w:lang w:val="cs-CZ"/>
        </w:rPr>
        <w:t xml:space="preserve"> na </w:t>
      </w:r>
      <w:r w:rsidR="00DE5D0A" w:rsidRPr="00691F45">
        <w:rPr>
          <w:color w:val="000000"/>
        </w:rPr>
        <w:t>stávající budově knihovny v Hranicích, která nemá čp/če, na st.p.č. 1026 v k.ú. Hranic</w:t>
      </w:r>
      <w:r w:rsidR="00DE5D0A">
        <w:rPr>
          <w:color w:val="000000"/>
        </w:rPr>
        <w:t>e u Aše a na poz.p.č. 87/3 v k</w:t>
      </w:r>
      <w:r w:rsidR="00DE5D0A" w:rsidRPr="00691F45">
        <w:rPr>
          <w:color w:val="000000"/>
        </w:rPr>
        <w:t>. ú. Hranice u Aše.</w:t>
      </w:r>
    </w:p>
    <w:p w14:paraId="57466D79" w14:textId="77777777"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14:paraId="43E29ADE" w14:textId="77777777"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14:paraId="675BFD4E" w14:textId="77777777"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14:paraId="4F117E30" w14:textId="6BEE27C9" w:rsidR="00163683" w:rsidRPr="00AC77DB" w:rsidRDefault="00327A46" w:rsidP="00C97B43">
      <w:pPr>
        <w:pStyle w:val="Bezmezer"/>
        <w:numPr>
          <w:ilvl w:val="0"/>
          <w:numId w:val="24"/>
        </w:numPr>
        <w:ind w:left="1276" w:hanging="425"/>
        <w:jc w:val="both"/>
        <w:rPr>
          <w:rFonts w:cs="ArialNarrow"/>
          <w:lang w:val="cs-CZ" w:eastAsia="cs-CZ"/>
        </w:rPr>
      </w:pPr>
      <w:r w:rsidRPr="00AC77DB">
        <w:rPr>
          <w:lang w:val="cs-CZ"/>
        </w:rPr>
        <w:t>p</w:t>
      </w:r>
      <w:r w:rsidR="00520EEB" w:rsidRPr="00AC77DB">
        <w:rPr>
          <w:lang w:val="cs-CZ"/>
        </w:rPr>
        <w:t>rojektovou dokumentací</w:t>
      </w:r>
      <w:r w:rsidR="00163683" w:rsidRPr="00AC77DB">
        <w:rPr>
          <w:lang w:val="cs-CZ"/>
        </w:rPr>
        <w:t xml:space="preserve"> zpracovanou</w:t>
      </w:r>
      <w:r w:rsidR="006272D9" w:rsidRPr="00AC77DB">
        <w:rPr>
          <w:lang w:val="cs-CZ"/>
        </w:rPr>
        <w:t xml:space="preserve"> zodpovědným projektantem, </w:t>
      </w:r>
      <w:r w:rsidR="00B33F54" w:rsidRPr="00AC77DB">
        <w:rPr>
          <w:rFonts w:cs="ArialNarrow"/>
          <w:lang w:val="cs-CZ" w:eastAsia="cs-CZ"/>
        </w:rPr>
        <w:t xml:space="preserve">Ing. </w:t>
      </w:r>
      <w:r w:rsidR="006272D9" w:rsidRPr="00AC77DB">
        <w:rPr>
          <w:rFonts w:cs="ArialNarrow"/>
          <w:lang w:val="cs-CZ" w:eastAsia="cs-CZ"/>
        </w:rPr>
        <w:t>Pavlem Sobotkou - Staso</w:t>
      </w:r>
      <w:r w:rsidR="00B33F54" w:rsidRPr="00AC77DB">
        <w:rPr>
          <w:rFonts w:cs="ArialNarrow"/>
          <w:lang w:val="cs-CZ" w:eastAsia="cs-CZ"/>
        </w:rPr>
        <w:t xml:space="preserve">, </w:t>
      </w:r>
      <w:r w:rsidR="006272D9" w:rsidRPr="00AC77DB">
        <w:rPr>
          <w:lang w:val="cs-CZ"/>
        </w:rPr>
        <w:t>IČ: 432 77 772, ČKAIT – 0300585</w:t>
      </w:r>
      <w:r w:rsidR="00B33F54" w:rsidRPr="00AC77DB">
        <w:rPr>
          <w:rFonts w:cs="ArialNarrow"/>
          <w:lang w:val="cs-CZ" w:eastAsia="cs-CZ"/>
        </w:rPr>
        <w:t xml:space="preserve">, ve stupni </w:t>
      </w:r>
      <w:r w:rsidR="00DE5D0A">
        <w:rPr>
          <w:rFonts w:cs="ArialNarrow"/>
          <w:lang w:val="cs-CZ" w:eastAsia="cs-CZ"/>
        </w:rPr>
        <w:t>PD</w:t>
      </w:r>
      <w:r w:rsidR="00DE5D0A" w:rsidRPr="00910188">
        <w:t>: PSŘ, z listopadu 2012 a z ledna 2013</w:t>
      </w:r>
      <w:r w:rsidR="00B33F54" w:rsidRPr="00AC77DB">
        <w:rPr>
          <w:rFonts w:cs="ArialNarrow"/>
          <w:lang w:val="cs-CZ" w:eastAsia="cs-CZ"/>
        </w:rPr>
        <w:t xml:space="preserve"> </w:t>
      </w:r>
      <w:r w:rsidR="00163683" w:rsidRPr="00C76F82">
        <w:rPr>
          <w:rFonts w:cs="ArialNarrow"/>
          <w:lang w:val="cs-CZ" w:eastAsia="cs-CZ"/>
        </w:rPr>
        <w:t xml:space="preserve">(dale jen </w:t>
      </w:r>
      <w:r w:rsidR="00163683" w:rsidRPr="00C76F82">
        <w:rPr>
          <w:rFonts w:cs="Arial"/>
          <w:bCs/>
          <w:i/>
          <w:lang w:val="cs-CZ" w:eastAsia="cs-CZ"/>
        </w:rPr>
        <w:t>„</w:t>
      </w:r>
      <w:r w:rsidR="00163683" w:rsidRPr="00C76F82">
        <w:rPr>
          <w:rFonts w:cs="ArialNarrow"/>
          <w:lang w:val="cs-CZ" w:eastAsia="cs-CZ"/>
        </w:rPr>
        <w:t>projektová dokumentace”</w:t>
      </w:r>
      <w:r w:rsidR="00BB3499" w:rsidRPr="00C76F82">
        <w:rPr>
          <w:rFonts w:cs="ArialNarrow"/>
          <w:lang w:val="cs-CZ" w:eastAsia="cs-CZ"/>
        </w:rPr>
        <w:t>)</w:t>
      </w:r>
      <w:r w:rsidR="00342F22" w:rsidRPr="00C76F82">
        <w:rPr>
          <w:rFonts w:cs="ArialNarrow"/>
          <w:i/>
          <w:lang w:val="cs-CZ" w:eastAsia="cs-CZ"/>
        </w:rPr>
        <w:t>,</w:t>
      </w:r>
    </w:p>
    <w:p w14:paraId="6D22E402" w14:textId="77777777"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14:paraId="6E920221" w14:textId="77777777"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14:paraId="7268B148" w14:textId="77777777"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14:paraId="35661CC1" w14:textId="77777777"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14:paraId="2969ECDC" w14:textId="77777777" w:rsidR="00FA5CC3" w:rsidRPr="00AC77DB"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5FB0781B" w14:textId="77777777"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14:paraId="0FFC88E4" w14:textId="77777777"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14:paraId="661C4793" w14:textId="6225A6D3" w:rsidR="00E5539B"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Celková cena díla je stranami sjednána v souladu s</w:t>
      </w:r>
      <w:r w:rsidR="002E1D45" w:rsidRPr="00AC77DB">
        <w:rPr>
          <w:rFonts w:asciiTheme="minorHAnsi" w:hAnsiTheme="minorHAnsi"/>
          <w:lang w:val="cs-CZ"/>
        </w:rPr>
        <w:t> </w:t>
      </w:r>
      <w:proofErr w:type="spellStart"/>
      <w:r w:rsidR="002E1D45" w:rsidRPr="00AC77DB">
        <w:rPr>
          <w:rFonts w:asciiTheme="minorHAnsi" w:hAnsiTheme="minorHAnsi"/>
          <w:lang w:val="cs-CZ"/>
        </w:rPr>
        <w:t>ust</w:t>
      </w:r>
      <w:proofErr w:type="spellEnd"/>
      <w:r w:rsidR="002E1D45" w:rsidRPr="00AC77DB">
        <w:rPr>
          <w:rFonts w:asciiTheme="minorHAnsi" w:hAnsiTheme="minorHAnsi"/>
          <w:lang w:val="cs-CZ"/>
        </w:rPr>
        <w:t xml:space="preserve">. </w:t>
      </w:r>
      <w:r w:rsidRPr="00AC77DB">
        <w:rPr>
          <w:rFonts w:asciiTheme="minorHAnsi" w:hAnsiTheme="minorHAnsi"/>
          <w:lang w:val="cs-CZ"/>
        </w:rPr>
        <w:t xml:space="preserve">§ 2 zákona č. 526/1990 Sb., o cenách, ve znění pozdějších předpisů. </w:t>
      </w:r>
      <w:r w:rsidR="00E5539B" w:rsidRPr="00AC77DB">
        <w:rPr>
          <w:rFonts w:asciiTheme="minorHAnsi" w:hAnsiTheme="minorHAnsi"/>
          <w:lang w:val="cs-CZ"/>
        </w:rPr>
        <w:t xml:space="preserve">Celková cena za provedení úplného díla </w:t>
      </w:r>
      <w:r w:rsidR="00270F20" w:rsidRPr="00AC77DB">
        <w:rPr>
          <w:rFonts w:asciiTheme="minorHAnsi" w:hAnsiTheme="minorHAnsi"/>
          <w:lang w:val="cs-CZ"/>
        </w:rPr>
        <w:t>podle této smlouvy byla stanovena</w:t>
      </w:r>
      <w:r w:rsidR="004245FB" w:rsidRPr="00AC77DB">
        <w:rPr>
          <w:rFonts w:asciiTheme="minorHAnsi" w:hAnsiTheme="minorHAnsi"/>
          <w:lang w:val="cs-CZ"/>
        </w:rPr>
        <w:t xml:space="preserve"> v cenové nabídce uchazeče, kterou podal do výběrového řízení „</w:t>
      </w:r>
      <w:r w:rsidR="00DE5D0A" w:rsidRPr="00DE5D0A">
        <w:rPr>
          <w:color w:val="000000"/>
        </w:rPr>
        <w:t>Rekonstrukce a přístavba stávající knihovny v Hranicích u Aše</w:t>
      </w:r>
      <w:r w:rsidR="004245FB" w:rsidRPr="00AC77DB">
        <w:rPr>
          <w:rFonts w:asciiTheme="minorHAnsi" w:hAnsiTheme="minorHAnsi"/>
          <w:lang w:val="cs-CZ"/>
        </w:rPr>
        <w:t>“</w:t>
      </w:r>
      <w:r w:rsidRPr="00AC77DB">
        <w:rPr>
          <w:rFonts w:asciiTheme="minorHAnsi" w:hAnsiTheme="minorHAnsi"/>
          <w:lang w:val="cs-CZ"/>
        </w:rPr>
        <w:t>.</w:t>
      </w:r>
      <w:r w:rsidR="004245FB" w:rsidRPr="00AC77DB">
        <w:rPr>
          <w:rFonts w:asciiTheme="minorHAnsi" w:hAnsiTheme="minorHAnsi"/>
          <w:lang w:val="cs-CZ"/>
        </w:rPr>
        <w:t xml:space="preserve"> Oceněný soupis prací</w:t>
      </w:r>
      <w:r w:rsidR="00650EBA" w:rsidRPr="00AC77DB">
        <w:rPr>
          <w:rFonts w:asciiTheme="minorHAnsi" w:hAnsiTheme="minorHAnsi"/>
          <w:lang w:val="cs-CZ"/>
        </w:rPr>
        <w:t xml:space="preserve"> a výkaz výměr</w:t>
      </w:r>
      <w:r w:rsidR="00270F20" w:rsidRPr="00AC77DB">
        <w:rPr>
          <w:rFonts w:asciiTheme="minorHAnsi" w:hAnsiTheme="minorHAnsi"/>
          <w:lang w:val="cs-CZ"/>
        </w:rPr>
        <w:t xml:space="preserve"> </w:t>
      </w:r>
      <w:r w:rsidR="002E1D45" w:rsidRPr="00AC77DB">
        <w:rPr>
          <w:rFonts w:asciiTheme="minorHAnsi" w:hAnsiTheme="minorHAnsi"/>
          <w:lang w:val="cs-CZ"/>
        </w:rPr>
        <w:t>tvoří přílohu této smlouvy</w:t>
      </w:r>
      <w:r w:rsidR="00270F20" w:rsidRPr="00AC77DB">
        <w:rPr>
          <w:rFonts w:asciiTheme="minorHAnsi" w:hAnsiTheme="minorHAnsi"/>
          <w:lang w:val="cs-CZ"/>
        </w:rPr>
        <w:t>.</w:t>
      </w:r>
      <w:r w:rsidR="00E5539B" w:rsidRPr="00AC77DB">
        <w:rPr>
          <w:rFonts w:asciiTheme="minorHAnsi" w:hAnsiTheme="minorHAnsi"/>
          <w:lang w:val="cs-CZ"/>
        </w:rPr>
        <w:t xml:space="preserve"> </w:t>
      </w:r>
    </w:p>
    <w:p w14:paraId="65F2CDCF" w14:textId="77777777" w:rsidR="0053261C" w:rsidRPr="00AC77DB"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14:paraId="3E02DE92" w14:textId="77777777" w:rsidTr="0053261C">
        <w:tc>
          <w:tcPr>
            <w:tcW w:w="8924" w:type="dxa"/>
            <w:gridSpan w:val="2"/>
            <w:shd w:val="clear" w:color="auto" w:fill="BFBFBF" w:themeFill="background1" w:themeFillShade="BF"/>
          </w:tcPr>
          <w:p w14:paraId="2ECE5E42" w14:textId="77777777" w:rsidR="0053261C" w:rsidRPr="00AC77DB" w:rsidRDefault="0053261C" w:rsidP="0053261C">
            <w:pPr>
              <w:spacing w:after="0"/>
              <w:ind w:left="18" w:hanging="18"/>
              <w:jc w:val="both"/>
              <w:rPr>
                <w:rFonts w:asciiTheme="minorHAnsi" w:hAnsiTheme="minorHAnsi"/>
                <w:lang w:val="cs-CZ"/>
              </w:rPr>
            </w:pPr>
            <w:r w:rsidRPr="00AC77DB">
              <w:rPr>
                <w:b/>
                <w:lang w:val="cs-CZ"/>
              </w:rPr>
              <w:t>Celková cena díla v Kč</w:t>
            </w:r>
          </w:p>
        </w:tc>
      </w:tr>
      <w:tr w:rsidR="0053261C" w:rsidRPr="00AC77DB" w14:paraId="789C087C" w14:textId="77777777" w:rsidTr="0053261C">
        <w:tc>
          <w:tcPr>
            <w:tcW w:w="5811" w:type="dxa"/>
          </w:tcPr>
          <w:p w14:paraId="0F2163A7"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14:paraId="0EF8C4A1"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14:paraId="53206CB7" w14:textId="77777777" w:rsidTr="0053261C">
        <w:tc>
          <w:tcPr>
            <w:tcW w:w="5811" w:type="dxa"/>
          </w:tcPr>
          <w:p w14:paraId="14FE7F80"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14:paraId="026E0E1F"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14:paraId="1880101E" w14:textId="77777777" w:rsidTr="0053261C">
        <w:tc>
          <w:tcPr>
            <w:tcW w:w="5811" w:type="dxa"/>
          </w:tcPr>
          <w:p w14:paraId="1DF77DD4"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14:paraId="3AA2F439"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14:paraId="03F70779" w14:textId="77777777" w:rsidR="00650EBA" w:rsidRPr="00AC77DB" w:rsidRDefault="00650EBA" w:rsidP="00650EBA">
      <w:pPr>
        <w:spacing w:after="0"/>
        <w:ind w:left="360" w:firstLine="0"/>
        <w:jc w:val="both"/>
        <w:rPr>
          <w:lang w:val="cs-CZ"/>
        </w:rPr>
      </w:pPr>
    </w:p>
    <w:p w14:paraId="36E665C1" w14:textId="77777777"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14:paraId="3FDA6AD0" w14:textId="77777777"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14:paraId="39409544" w14:textId="77777777"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 xml:space="preserve">ných </w:t>
      </w:r>
      <w:proofErr w:type="spellStart"/>
      <w:r w:rsidR="006C5DA9" w:rsidRPr="00AC77DB">
        <w:rPr>
          <w:rFonts w:asciiTheme="minorHAnsi" w:hAnsiTheme="minorHAnsi" w:cs="Arial"/>
          <w:sz w:val="22"/>
          <w:szCs w:val="22"/>
        </w:rPr>
        <w:t>méněprací</w:t>
      </w:r>
      <w:proofErr w:type="spellEnd"/>
      <w:r w:rsidR="006C5DA9" w:rsidRPr="00AC77DB">
        <w:rPr>
          <w:rFonts w:asciiTheme="minorHAnsi" w:hAnsiTheme="minorHAnsi" w:cs="Arial"/>
          <w:sz w:val="22"/>
          <w:szCs w:val="22"/>
        </w:rPr>
        <w:t xml:space="preserve"> provedena, bude c</w:t>
      </w:r>
      <w:r w:rsidRPr="00AC77DB">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AC77DB">
        <w:rPr>
          <w:rFonts w:asciiTheme="minorHAnsi" w:hAnsiTheme="minorHAnsi" w:cs="Arial"/>
          <w:sz w:val="22"/>
          <w:szCs w:val="22"/>
        </w:rPr>
        <w:t>méněprací</w:t>
      </w:r>
      <w:proofErr w:type="spellEnd"/>
      <w:r w:rsidRPr="00AC77DB">
        <w:rPr>
          <w:rFonts w:asciiTheme="minorHAnsi" w:hAnsiTheme="minorHAnsi" w:cs="Arial"/>
          <w:sz w:val="22"/>
          <w:szCs w:val="22"/>
        </w:rPr>
        <w:t xml:space="preserve"> nebudou provedeny. Náklady na </w:t>
      </w:r>
      <w:proofErr w:type="spellStart"/>
      <w:r w:rsidRPr="00AC77DB">
        <w:rPr>
          <w:rFonts w:asciiTheme="minorHAnsi" w:hAnsiTheme="minorHAnsi" w:cs="Arial"/>
          <w:sz w:val="22"/>
          <w:szCs w:val="22"/>
        </w:rPr>
        <w:t>méněpráce</w:t>
      </w:r>
      <w:proofErr w:type="spellEnd"/>
      <w:r w:rsidRPr="00AC77DB">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14:paraId="2E434E46" w14:textId="77777777"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14:paraId="671EADCB" w14:textId="77777777"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14:paraId="163E6E4A" w14:textId="77777777"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0895D785" w14:textId="77777777" w:rsid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7779D0B8" w14:textId="77777777"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14:paraId="20B2DE61" w14:textId="77777777" w:rsidR="00270F20" w:rsidRPr="00AC77DB" w:rsidRDefault="00270F20" w:rsidP="009E764D">
      <w:pPr>
        <w:spacing w:before="120" w:after="120"/>
        <w:ind w:left="850" w:hanging="425"/>
        <w:jc w:val="center"/>
        <w:rPr>
          <w:b/>
          <w:caps/>
          <w:lang w:val="cs-CZ"/>
        </w:rPr>
      </w:pPr>
      <w:r w:rsidRPr="00AC77DB">
        <w:rPr>
          <w:b/>
          <w:caps/>
          <w:lang w:val="cs-CZ"/>
        </w:rPr>
        <w:t>Platební podmínky</w:t>
      </w:r>
    </w:p>
    <w:p w14:paraId="090A04CF" w14:textId="77777777"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14:paraId="60673D4F"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14:paraId="73A7DDCE"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14:paraId="09F52D70"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C275D1" w:rsidRPr="00AC77DB">
        <w:rPr>
          <w:rFonts w:cs="Verdana"/>
          <w:bCs/>
          <w:lang w:val="cs-CZ"/>
        </w:rPr>
        <w:t>ROP SZ</w:t>
      </w:r>
      <w:r w:rsidRPr="00AC77DB">
        <w:rPr>
          <w:rFonts w:cs="Verdana"/>
          <w:bCs/>
          <w:lang w:val="cs-CZ"/>
        </w:rPr>
        <w:t xml:space="preserve">. </w:t>
      </w:r>
    </w:p>
    <w:p w14:paraId="1DDCD012"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14:paraId="3B2706B9" w14:textId="77777777"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77777777"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14:paraId="3B5EE7A2" w14:textId="77777777"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14:paraId="42E906E5" w14:textId="77777777"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14:paraId="00BA5F41" w14:textId="77777777" w:rsidR="00C22269" w:rsidRPr="00AC77DB" w:rsidRDefault="00C22269" w:rsidP="000F0FC0">
      <w:pPr>
        <w:ind w:left="714" w:firstLine="0"/>
        <w:jc w:val="both"/>
        <w:rPr>
          <w:lang w:val="cs-CZ"/>
        </w:rPr>
      </w:pPr>
    </w:p>
    <w:p w14:paraId="08E4EED9" w14:textId="77777777"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14:paraId="51ABB115" w14:textId="77777777" w:rsidR="00270F20" w:rsidRPr="00AC77DB" w:rsidRDefault="00984F9C" w:rsidP="009E764D">
      <w:pPr>
        <w:spacing w:before="120" w:after="120"/>
        <w:ind w:left="850" w:hanging="425"/>
        <w:jc w:val="center"/>
        <w:rPr>
          <w:b/>
          <w:caps/>
          <w:lang w:val="cs-CZ"/>
        </w:rPr>
      </w:pPr>
      <w:r w:rsidRPr="00AC77DB">
        <w:rPr>
          <w:b/>
          <w:caps/>
          <w:lang w:val="cs-CZ"/>
        </w:rPr>
        <w:t>DOBA PLNĚNÍ</w:t>
      </w:r>
    </w:p>
    <w:p w14:paraId="42B54516" w14:textId="77777777" w:rsidR="00984F9C" w:rsidRPr="00AC77DB" w:rsidRDefault="00984F9C" w:rsidP="00C97B43">
      <w:pPr>
        <w:numPr>
          <w:ilvl w:val="0"/>
          <w:numId w:val="9"/>
        </w:numPr>
        <w:spacing w:after="0"/>
        <w:rPr>
          <w:rFonts w:cs="Verdana"/>
          <w:bCs/>
          <w:lang w:val="cs-CZ"/>
        </w:rPr>
      </w:pPr>
      <w:r w:rsidRPr="00AC77DB">
        <w:rPr>
          <w:rFonts w:cs="Verdana"/>
          <w:bCs/>
          <w:lang w:val="cs-CZ"/>
        </w:rPr>
        <w:t xml:space="preserve">Realizace bude probíhat v následujících termínech: </w:t>
      </w:r>
    </w:p>
    <w:p w14:paraId="3F28460B" w14:textId="1F278208" w:rsidR="0011104B" w:rsidRPr="00AC77DB" w:rsidRDefault="0011104B" w:rsidP="0011104B">
      <w:pPr>
        <w:pStyle w:val="Bezmezer"/>
        <w:numPr>
          <w:ilvl w:val="0"/>
          <w:numId w:val="0"/>
        </w:numPr>
        <w:ind w:left="709"/>
        <w:rPr>
          <w:color w:val="000000"/>
          <w:lang w:val="cs-CZ"/>
        </w:rPr>
      </w:pPr>
      <w:r w:rsidRPr="00AC77DB">
        <w:rPr>
          <w:lang w:val="cs-CZ"/>
        </w:rPr>
        <w:t>Zahájení prací</w:t>
      </w:r>
      <w:r w:rsidR="00342F22" w:rsidRPr="00AC77DB">
        <w:rPr>
          <w:lang w:val="cs-CZ"/>
        </w:rPr>
        <w:t>/předání staveni</w:t>
      </w:r>
      <w:r w:rsidR="00C97B43" w:rsidRPr="00AC77DB">
        <w:rPr>
          <w:lang w:val="cs-CZ"/>
        </w:rPr>
        <w:t>ště</w:t>
      </w:r>
      <w:r w:rsidRPr="00AC77DB">
        <w:rPr>
          <w:lang w:val="cs-CZ"/>
        </w:rPr>
        <w:t xml:space="preserve">: </w:t>
      </w:r>
      <w:r w:rsidR="00C97B43" w:rsidRPr="00AC77DB">
        <w:rPr>
          <w:lang w:val="cs-CZ"/>
        </w:rPr>
        <w:tab/>
      </w:r>
      <w:r w:rsidR="008A2E3D">
        <w:rPr>
          <w:lang w:val="cs-CZ"/>
        </w:rPr>
        <w:t>1</w:t>
      </w:r>
      <w:r w:rsidRPr="00AC77DB">
        <w:rPr>
          <w:lang w:val="cs-CZ"/>
        </w:rPr>
        <w:t>2.05.2014.</w:t>
      </w:r>
      <w:r w:rsidRPr="00AC77DB">
        <w:rPr>
          <w:color w:val="000000"/>
          <w:lang w:val="cs-CZ"/>
        </w:rPr>
        <w:t xml:space="preserve"> </w:t>
      </w:r>
    </w:p>
    <w:p w14:paraId="0713E0CD" w14:textId="74016411" w:rsidR="0011104B" w:rsidRPr="00AC77DB" w:rsidRDefault="0011104B" w:rsidP="0011104B">
      <w:pPr>
        <w:pStyle w:val="Bezmezer"/>
        <w:numPr>
          <w:ilvl w:val="0"/>
          <w:numId w:val="0"/>
        </w:numPr>
        <w:ind w:left="709"/>
        <w:rPr>
          <w:lang w:val="cs-CZ"/>
        </w:rPr>
      </w:pPr>
      <w:r w:rsidRPr="00AC77DB">
        <w:rPr>
          <w:lang w:val="cs-CZ"/>
        </w:rPr>
        <w:t>Ukončení prací a převzetí hotové díla</w:t>
      </w:r>
      <w:r w:rsidR="00810828">
        <w:rPr>
          <w:lang w:val="cs-CZ"/>
        </w:rPr>
        <w:t>:</w:t>
      </w:r>
      <w:r w:rsidR="00810828">
        <w:rPr>
          <w:lang w:val="cs-CZ"/>
        </w:rPr>
        <w:tab/>
        <w:t>29</w:t>
      </w:r>
      <w:r w:rsidR="00B33F54" w:rsidRPr="00AC77DB">
        <w:rPr>
          <w:lang w:val="cs-CZ"/>
        </w:rPr>
        <w:t>.</w:t>
      </w:r>
      <w:r w:rsidR="00810828">
        <w:rPr>
          <w:lang w:val="cs-CZ"/>
        </w:rPr>
        <w:t>05</w:t>
      </w:r>
      <w:r w:rsidR="003C38FD" w:rsidRPr="00AC77DB">
        <w:rPr>
          <w:lang w:val="cs-CZ"/>
        </w:rPr>
        <w:t>.2015</w:t>
      </w:r>
      <w:r w:rsidRPr="00AC77DB">
        <w:rPr>
          <w:lang w:val="cs-CZ"/>
        </w:rPr>
        <w:t>.</w:t>
      </w:r>
    </w:p>
    <w:p w14:paraId="20A3D2EB" w14:textId="77777777" w:rsidR="0011104B" w:rsidRPr="00AC77DB" w:rsidRDefault="0011104B" w:rsidP="0011104B">
      <w:pPr>
        <w:pStyle w:val="Bezmezer"/>
        <w:numPr>
          <w:ilvl w:val="0"/>
          <w:numId w:val="0"/>
        </w:numPr>
        <w:ind w:left="709"/>
        <w:rPr>
          <w:sz w:val="6"/>
          <w:szCs w:val="6"/>
          <w:lang w:val="cs-CZ"/>
        </w:rPr>
      </w:pPr>
    </w:p>
    <w:p w14:paraId="47DF4EEC" w14:textId="77777777" w:rsidR="0011104B" w:rsidRPr="00AC77DB" w:rsidRDefault="0011104B" w:rsidP="0011104B">
      <w:pPr>
        <w:pStyle w:val="Bezmezer"/>
        <w:numPr>
          <w:ilvl w:val="0"/>
          <w:numId w:val="0"/>
        </w:numPr>
        <w:ind w:left="709"/>
        <w:jc w:val="both"/>
        <w:rPr>
          <w:rFonts w:eastAsia="JohnSans Text Pro"/>
          <w:lang w:val="cs-CZ"/>
        </w:rPr>
      </w:pPr>
      <w:r w:rsidRPr="00AC77DB">
        <w:rPr>
          <w:lang w:val="cs-CZ"/>
        </w:rPr>
        <w:t>Za den zahájení p</w:t>
      </w:r>
      <w:r w:rsidRPr="00AC77DB">
        <w:rPr>
          <w:rFonts w:eastAsia="JohnSans Text Pro"/>
          <w:lang w:val="cs-CZ"/>
        </w:rPr>
        <w:t>lnění zakázky je považován den, kdy dojde k protokolárnímu předání Staveniště, přičemž tento den nastane nejpozději 10 kalendářních dní po uzavření smlouvy.</w:t>
      </w:r>
    </w:p>
    <w:p w14:paraId="5CE38D7F" w14:textId="77777777"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14:paraId="556AD266" w14:textId="77777777"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14:paraId="7E168744" w14:textId="77777777"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14:paraId="41503157" w14:textId="77777777"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14:paraId="3C81B757" w14:textId="77777777"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14:paraId="57634B30" w14:textId="77777777" w:rsidR="00AC7CF8" w:rsidRPr="00AC77DB"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14:paraId="4AA8F9AF" w14:textId="77777777" w:rsidR="00AC7CF8" w:rsidRPr="00AC77DB" w:rsidRDefault="00EF7463" w:rsidP="00EF7463">
      <w:pPr>
        <w:pStyle w:val="Nadpis1"/>
        <w:spacing w:before="240"/>
        <w:ind w:left="4253" w:hanging="3827"/>
        <w:jc w:val="center"/>
        <w:rPr>
          <w:sz w:val="22"/>
          <w:szCs w:val="22"/>
        </w:rPr>
      </w:pPr>
      <w:r w:rsidRPr="00AC77DB">
        <w:rPr>
          <w:sz w:val="22"/>
          <w:szCs w:val="22"/>
        </w:rPr>
        <w:t>Článek 6</w:t>
      </w:r>
    </w:p>
    <w:p w14:paraId="4F7F9886" w14:textId="77777777"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14:paraId="6D0B205F" w14:textId="77777777" w:rsidR="005E0DD6" w:rsidRPr="00AC77DB" w:rsidRDefault="00550275" w:rsidP="00C97B43">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14:paraId="5EE5D897" w14:textId="77777777" w:rsidR="005E0DD6" w:rsidRPr="00AC77DB" w:rsidRDefault="00AC7CF8" w:rsidP="00C97B43">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77777777" w:rsidR="005E0DD6" w:rsidRPr="00AC77DB" w:rsidRDefault="00D705D7" w:rsidP="00C97B43">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AC77DB">
        <w:rPr>
          <w:lang w:val="cs-CZ"/>
        </w:rPr>
        <w:t>SoD</w:t>
      </w:r>
      <w:proofErr w:type="spellEnd"/>
      <w:r w:rsidRPr="00AC77DB">
        <w:rPr>
          <w:lang w:val="cs-CZ"/>
        </w:rPr>
        <w:t xml:space="preserve"> odstoupit.</w:t>
      </w:r>
    </w:p>
    <w:p w14:paraId="1AAA3393" w14:textId="77777777" w:rsidR="005E0DD6" w:rsidRPr="00AC77DB" w:rsidRDefault="00AC7CF8" w:rsidP="00C97B43">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AC77DB" w:rsidRDefault="00AC7CF8" w:rsidP="00C97B43">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AC77DB" w:rsidRDefault="00AC7CF8" w:rsidP="00C97B43">
      <w:pPr>
        <w:numPr>
          <w:ilvl w:val="0"/>
          <w:numId w:val="11"/>
        </w:numPr>
        <w:spacing w:afterLines="60" w:after="144"/>
        <w:jc w:val="both"/>
        <w:rPr>
          <w:lang w:val="cs-CZ"/>
        </w:rPr>
      </w:pPr>
      <w:r w:rsidRPr="00AC77DB">
        <w:rPr>
          <w:lang w:val="cs-CZ"/>
        </w:rPr>
        <w:t>Zhotovitel zodpovídá za práci subdodavatelských subjektů, jako by je prováděl sám.</w:t>
      </w:r>
    </w:p>
    <w:p w14:paraId="73A94E91" w14:textId="77777777" w:rsidR="005E0DD6" w:rsidRPr="00AC77DB" w:rsidRDefault="00550275" w:rsidP="00C97B43">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77777777" w:rsidR="005E0DD6" w:rsidRPr="00AC77DB" w:rsidRDefault="00550275" w:rsidP="00C97B43">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14:paraId="1C099ACD" w14:textId="77777777" w:rsidR="005E0DD6" w:rsidRPr="00AC77DB" w:rsidRDefault="00D72D7A" w:rsidP="00C97B43">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14:paraId="37845C60" w14:textId="77777777" w:rsidR="005E0DD6" w:rsidRPr="00AC77DB" w:rsidRDefault="00AC7CF8" w:rsidP="00C97B43">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14:paraId="6BD8A7AA" w14:textId="77777777" w:rsidR="005E0DD6" w:rsidRPr="00AC77DB" w:rsidRDefault="00550275" w:rsidP="00C97B43">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77777777" w:rsidR="005E0DD6" w:rsidRPr="00AC77DB" w:rsidRDefault="00D705D7" w:rsidP="00C97B43">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14:paraId="632F5516" w14:textId="77777777" w:rsidR="00174B16" w:rsidRPr="00AC77DB" w:rsidRDefault="00174B16" w:rsidP="00174B16">
      <w:pPr>
        <w:numPr>
          <w:ilvl w:val="0"/>
          <w:numId w:val="11"/>
        </w:numPr>
        <w:spacing w:afterLines="60" w:after="144"/>
        <w:jc w:val="both"/>
        <w:rPr>
          <w:lang w:val="cs-CZ"/>
        </w:rPr>
      </w:pPr>
      <w:r w:rsidRPr="00AC77DB">
        <w:rPr>
          <w:lang w:val="cs-CZ"/>
        </w:rPr>
        <w:t xml:space="preserve">Autorský dozor a koordinátora BOZP zajišťuje objednatel. </w:t>
      </w:r>
    </w:p>
    <w:p w14:paraId="29E01C6A" w14:textId="77777777" w:rsidR="00652C8D" w:rsidRPr="00AC77DB" w:rsidRDefault="00652C8D" w:rsidP="00652C8D">
      <w:pPr>
        <w:rPr>
          <w:highlight w:val="yellow"/>
          <w:lang w:val="cs-CZ"/>
        </w:rPr>
      </w:pPr>
    </w:p>
    <w:p w14:paraId="15AEC5CF"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7</w:t>
      </w:r>
    </w:p>
    <w:p w14:paraId="6CE74B9F" w14:textId="77777777" w:rsidR="00D705D7" w:rsidRPr="00AC77DB" w:rsidRDefault="00D705D7" w:rsidP="009E764D">
      <w:pPr>
        <w:spacing w:before="120" w:after="120"/>
        <w:ind w:left="850" w:hanging="425"/>
        <w:jc w:val="center"/>
        <w:rPr>
          <w:b/>
          <w:caps/>
          <w:lang w:val="cs-CZ"/>
        </w:rPr>
      </w:pPr>
      <w:r w:rsidRPr="00AC77DB">
        <w:rPr>
          <w:b/>
          <w:caps/>
          <w:lang w:val="cs-CZ"/>
        </w:rPr>
        <w:t>Staveniště</w:t>
      </w:r>
    </w:p>
    <w:p w14:paraId="004D0029" w14:textId="77777777" w:rsidR="005E0DD6" w:rsidRPr="00AC77DB" w:rsidRDefault="00D705D7" w:rsidP="00C97B43">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w:t>
      </w:r>
      <w:proofErr w:type="spellStart"/>
      <w:r w:rsidRPr="00AC77DB">
        <w:rPr>
          <w:lang w:val="cs-CZ"/>
        </w:rPr>
        <w:t>SoD</w:t>
      </w:r>
      <w:proofErr w:type="spellEnd"/>
      <w:r w:rsidRPr="00AC77DB">
        <w:rPr>
          <w:lang w:val="cs-CZ"/>
        </w:rPr>
        <w:t xml:space="preserve">, pokud se strany nedohodnou jinak. </w:t>
      </w:r>
    </w:p>
    <w:p w14:paraId="250BDFDD" w14:textId="77777777" w:rsidR="005E0DD6" w:rsidRPr="00AC77DB" w:rsidRDefault="00D705D7" w:rsidP="00C97B43">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AC77DB" w:rsidRDefault="00D705D7" w:rsidP="00C97B43">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AC77DB" w:rsidRDefault="00D705D7" w:rsidP="00C97B43">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14:paraId="66B6E8E6" w14:textId="77777777" w:rsidR="005E0DD6" w:rsidRPr="00AC77DB" w:rsidRDefault="00D705D7" w:rsidP="00C97B43">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77777777" w:rsidR="005E0DD6" w:rsidRPr="00AC77DB" w:rsidRDefault="00D705D7" w:rsidP="00C97B43">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4CF95287" w14:textId="77777777" w:rsidR="005E0DD6" w:rsidRPr="00AC77DB" w:rsidRDefault="00D705D7" w:rsidP="00C97B43">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AC77DB" w:rsidRDefault="00D705D7" w:rsidP="00C97B43">
      <w:pPr>
        <w:numPr>
          <w:ilvl w:val="0"/>
          <w:numId w:val="20"/>
        </w:numPr>
        <w:spacing w:afterLines="60" w:after="144"/>
        <w:jc w:val="both"/>
        <w:rPr>
          <w:lang w:val="cs-CZ"/>
        </w:rPr>
      </w:pPr>
      <w:r w:rsidRPr="00AC77DB">
        <w:rPr>
          <w:lang w:val="cs-CZ"/>
        </w:rPr>
        <w:t>Zhotovitel zajistí na své náklady odběrná místa energií včetně měření odběrů.</w:t>
      </w:r>
    </w:p>
    <w:p w14:paraId="10FFF88D" w14:textId="77777777" w:rsidR="005E0DD6" w:rsidRPr="00AC77DB" w:rsidRDefault="00D705D7" w:rsidP="00C97B43">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14:paraId="46EEE19C" w14:textId="77777777" w:rsidR="005E0DD6" w:rsidRPr="00AC77DB" w:rsidRDefault="00D705D7" w:rsidP="00C97B43">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14:paraId="5551F3D7" w14:textId="77777777" w:rsidR="00877D9C" w:rsidRPr="00AC77DB" w:rsidRDefault="00D705D7" w:rsidP="00C97B43">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AC77DB" w:rsidRDefault="00EF7463" w:rsidP="00EF7463">
      <w:pPr>
        <w:pStyle w:val="Nadpis1"/>
        <w:spacing w:before="240"/>
        <w:ind w:left="4253" w:hanging="4111"/>
        <w:jc w:val="center"/>
        <w:rPr>
          <w:sz w:val="22"/>
          <w:szCs w:val="22"/>
        </w:rPr>
      </w:pPr>
      <w:r w:rsidRPr="00AC77DB">
        <w:rPr>
          <w:sz w:val="22"/>
          <w:szCs w:val="22"/>
        </w:rPr>
        <w:t>Článek 8</w:t>
      </w:r>
    </w:p>
    <w:p w14:paraId="752E5515" w14:textId="77777777" w:rsidR="00D705D7" w:rsidRPr="00AC77DB" w:rsidRDefault="00D705D7" w:rsidP="000F0FC0">
      <w:pPr>
        <w:spacing w:after="0"/>
        <w:ind w:firstLine="0"/>
        <w:jc w:val="center"/>
        <w:rPr>
          <w:b/>
          <w:caps/>
          <w:lang w:val="cs-CZ"/>
        </w:rPr>
      </w:pPr>
      <w:r w:rsidRPr="00AC77DB">
        <w:rPr>
          <w:b/>
          <w:caps/>
          <w:lang w:val="cs-CZ"/>
        </w:rPr>
        <w:t>Předání a převzetí díla</w:t>
      </w:r>
    </w:p>
    <w:p w14:paraId="0D830F3A" w14:textId="77777777" w:rsidR="005E0DD6" w:rsidRPr="00AC77DB" w:rsidRDefault="00D705D7" w:rsidP="00C97B43">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14:paraId="77EBDCA3" w14:textId="77777777" w:rsidR="005E0DD6" w:rsidRPr="00AC77DB" w:rsidRDefault="00D705D7" w:rsidP="00C97B43">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w:t>
      </w:r>
      <w:proofErr w:type="spellStart"/>
      <w:r w:rsidRPr="00AC77DB">
        <w:rPr>
          <w:lang w:val="cs-CZ"/>
        </w:rPr>
        <w:t>SoD</w:t>
      </w:r>
      <w:proofErr w:type="spellEnd"/>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14:paraId="2E7C5EBD" w14:textId="597CE526" w:rsidR="005E0DD6" w:rsidRPr="00AC77DB" w:rsidRDefault="00D705D7" w:rsidP="00C97B43">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14:paraId="744B4682" w14:textId="77777777" w:rsidR="005E0DD6" w:rsidRPr="00AC77DB" w:rsidRDefault="00D705D7" w:rsidP="00C97B43">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AC77DB" w:rsidRDefault="00D705D7" w:rsidP="00C97B43">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AC77DB" w:rsidRDefault="00D705D7" w:rsidP="00C97B43">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AC77DB" w:rsidRDefault="00D705D7" w:rsidP="00C97B43">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Pr="00AC77DB" w:rsidRDefault="00D705D7" w:rsidP="00C97B43">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14:paraId="36FFACC5"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9</w:t>
      </w:r>
    </w:p>
    <w:p w14:paraId="0993E407" w14:textId="77777777" w:rsidR="00AC7CF8" w:rsidRPr="00AC77DB" w:rsidRDefault="00AC7CF8" w:rsidP="009E764D">
      <w:pPr>
        <w:spacing w:before="120" w:after="120"/>
        <w:ind w:left="850" w:hanging="425"/>
        <w:jc w:val="center"/>
        <w:rPr>
          <w:b/>
          <w:caps/>
          <w:lang w:val="cs-CZ"/>
        </w:rPr>
      </w:pPr>
      <w:r w:rsidRPr="00AC77DB">
        <w:rPr>
          <w:b/>
          <w:caps/>
          <w:lang w:val="cs-CZ"/>
        </w:rPr>
        <w:t>Jakost díla, záruka</w:t>
      </w:r>
    </w:p>
    <w:p w14:paraId="099F8796" w14:textId="77777777"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48212AF5" w14:textId="77777777"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3B79CBF3" w14:textId="77777777"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77777777"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14:paraId="57D0F318" w14:textId="77777777" w:rsidR="00AC7CF8" w:rsidRPr="00AC77DB"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060ABB96" w14:textId="77777777" w:rsidR="00782953" w:rsidRPr="00AC77DB" w:rsidRDefault="00782953"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sidRPr="00AC77DB">
        <w:rPr>
          <w:rFonts w:asciiTheme="majorHAnsi" w:hAnsiTheme="majorHAnsi" w:cs="Arial"/>
          <w:color w:val="000000"/>
          <w:u w:val="single"/>
          <w:shd w:val="clear" w:color="auto" w:fill="FFFFFF"/>
          <w:lang w:val="cs-CZ" w:eastAsia="cs-CZ" w:bidi="ar-SA"/>
        </w:rPr>
        <w:t>Záruka po dobu záruční lhůty</w:t>
      </w:r>
    </w:p>
    <w:p w14:paraId="64CB1121" w14:textId="4C6ABC75" w:rsidR="00782953" w:rsidRPr="00AC77DB" w:rsidRDefault="00782953" w:rsidP="00782953">
      <w:pPr>
        <w:spacing w:after="0"/>
        <w:ind w:left="709" w:firstLine="0"/>
        <w:jc w:val="both"/>
        <w:rPr>
          <w:rFonts w:asciiTheme="majorHAnsi" w:hAnsiTheme="majorHAnsi" w:cs="Arial"/>
          <w:color w:val="000000"/>
          <w:shd w:val="clear" w:color="auto" w:fill="FFFFFF"/>
          <w:lang w:val="cs-CZ" w:eastAsia="cs-CZ" w:bidi="ar-SA"/>
        </w:rPr>
      </w:pPr>
      <w:r w:rsidRPr="00AC77DB">
        <w:rPr>
          <w:rFonts w:asciiTheme="majorHAnsi" w:hAnsiTheme="majorHAnsi" w:cs="Arial"/>
          <w:color w:val="000000"/>
          <w:shd w:val="clear" w:color="auto" w:fill="FFFFFF"/>
          <w:lang w:val="cs-CZ" w:eastAsia="cs-CZ" w:bidi="ar-SA"/>
        </w:rPr>
        <w:t xml:space="preserve">Zhotovitel se zavazuje k poskytnutí záruky ve výši </w:t>
      </w:r>
      <w:r w:rsidR="00DE5D0A">
        <w:rPr>
          <w:rFonts w:asciiTheme="majorHAnsi" w:hAnsiTheme="majorHAnsi" w:cs="Arial"/>
          <w:b/>
          <w:color w:val="000000"/>
          <w:shd w:val="clear" w:color="auto" w:fill="FFFFFF"/>
          <w:lang w:val="cs-CZ" w:eastAsia="cs-CZ" w:bidi="ar-SA"/>
        </w:rPr>
        <w:t>35</w:t>
      </w:r>
      <w:r w:rsidR="004905D4" w:rsidRPr="00AC77DB">
        <w:rPr>
          <w:rFonts w:asciiTheme="majorHAnsi" w:hAnsiTheme="majorHAnsi" w:cs="Arial"/>
          <w:b/>
          <w:color w:val="000000"/>
          <w:shd w:val="clear" w:color="auto" w:fill="FFFFFF"/>
          <w:lang w:val="cs-CZ" w:eastAsia="cs-CZ" w:bidi="ar-SA"/>
        </w:rPr>
        <w:t>0.</w:t>
      </w:r>
      <w:r w:rsidRPr="00AC77DB">
        <w:rPr>
          <w:rFonts w:asciiTheme="majorHAnsi" w:hAnsiTheme="majorHAnsi" w:cs="Arial"/>
          <w:b/>
          <w:color w:val="000000"/>
          <w:shd w:val="clear" w:color="auto" w:fill="FFFFFF"/>
          <w:lang w:val="cs-CZ" w:eastAsia="cs-CZ" w:bidi="ar-SA"/>
        </w:rPr>
        <w:t>000,- Kč</w:t>
      </w:r>
      <w:r w:rsidR="00810828">
        <w:rPr>
          <w:rFonts w:asciiTheme="majorHAnsi" w:hAnsiTheme="majorHAnsi" w:cs="Arial"/>
          <w:color w:val="000000"/>
          <w:shd w:val="clear" w:color="auto" w:fill="FFFFFF"/>
          <w:lang w:val="cs-CZ" w:eastAsia="cs-CZ" w:bidi="ar-SA"/>
        </w:rPr>
        <w:t>, a to n</w:t>
      </w:r>
      <w:r w:rsidRPr="00AC77DB">
        <w:rPr>
          <w:rFonts w:asciiTheme="majorHAnsi" w:hAnsiTheme="majorHAnsi" w:cs="Arial"/>
          <w:color w:val="000000"/>
          <w:shd w:val="clear" w:color="auto" w:fill="FFFFFF"/>
          <w:lang w:val="cs-CZ" w:eastAsia="cs-CZ" w:bidi="ar-SA"/>
        </w:rPr>
        <w:t xml:space="preserve">a zajištění </w:t>
      </w:r>
      <w:r w:rsidR="00810828">
        <w:rPr>
          <w:rFonts w:asciiTheme="majorHAnsi" w:hAnsiTheme="majorHAnsi" w:cs="Arial"/>
          <w:color w:val="000000"/>
          <w:shd w:val="clear" w:color="auto" w:fill="FFFFFF"/>
          <w:lang w:val="cs-CZ" w:eastAsia="cs-CZ" w:bidi="ar-SA"/>
        </w:rPr>
        <w:t xml:space="preserve">řádného provedení díla a odstraňování vad díla </w:t>
      </w:r>
      <w:r w:rsidRPr="00AC77DB">
        <w:rPr>
          <w:rFonts w:asciiTheme="majorHAnsi" w:hAnsiTheme="majorHAnsi" w:cs="Arial"/>
          <w:color w:val="000000"/>
          <w:shd w:val="clear" w:color="auto" w:fill="FFFFFF"/>
          <w:lang w:val="cs-CZ" w:eastAsia="cs-CZ" w:bidi="ar-SA"/>
        </w:rPr>
        <w:t>po dobu záruční l</w:t>
      </w:r>
      <w:r w:rsidR="005B207A" w:rsidRPr="00AC77DB">
        <w:rPr>
          <w:rFonts w:asciiTheme="majorHAnsi" w:hAnsiTheme="majorHAnsi" w:cs="Arial"/>
          <w:color w:val="000000"/>
          <w:shd w:val="clear" w:color="auto" w:fill="FFFFFF"/>
          <w:lang w:val="cs-CZ" w:eastAsia="cs-CZ" w:bidi="ar-SA"/>
        </w:rPr>
        <w:t xml:space="preserve">hůty v délce </w:t>
      </w:r>
      <w:r w:rsidR="005B207A" w:rsidRPr="00AC77DB">
        <w:rPr>
          <w:rFonts w:asciiTheme="majorHAnsi" w:hAnsiTheme="majorHAnsi" w:cs="Arial"/>
          <w:b/>
          <w:color w:val="000000"/>
          <w:shd w:val="clear" w:color="auto" w:fill="FFFFFF"/>
          <w:lang w:val="cs-CZ" w:eastAsia="cs-CZ" w:bidi="ar-SA"/>
        </w:rPr>
        <w:t>60 měsíců</w:t>
      </w:r>
      <w:r w:rsidR="005B207A" w:rsidRPr="00AC77DB">
        <w:rPr>
          <w:rFonts w:asciiTheme="majorHAnsi" w:hAnsiTheme="majorHAnsi" w:cs="Arial"/>
          <w:color w:val="000000"/>
          <w:shd w:val="clear" w:color="auto" w:fill="FFFFFF"/>
          <w:lang w:val="cs-CZ" w:eastAsia="cs-CZ" w:bidi="ar-SA"/>
        </w:rPr>
        <w:t xml:space="preserve"> ve</w:t>
      </w:r>
      <w:r w:rsidRPr="00AC77DB">
        <w:rPr>
          <w:rFonts w:asciiTheme="majorHAnsi" w:hAnsiTheme="majorHAnsi" w:cs="Arial"/>
          <w:color w:val="000000"/>
          <w:shd w:val="clear" w:color="auto" w:fill="FFFFFF"/>
          <w:lang w:val="cs-CZ" w:eastAsia="cs-CZ" w:bidi="ar-SA"/>
        </w:rPr>
        <w:t xml:space="preserve"> form</w:t>
      </w:r>
      <w:r w:rsidR="005B207A" w:rsidRPr="00AC77DB">
        <w:rPr>
          <w:rFonts w:asciiTheme="majorHAnsi" w:hAnsiTheme="majorHAnsi" w:cs="Arial"/>
          <w:color w:val="000000"/>
          <w:shd w:val="clear" w:color="auto" w:fill="FFFFFF"/>
          <w:lang w:val="cs-CZ" w:eastAsia="cs-CZ" w:bidi="ar-SA"/>
        </w:rPr>
        <w:t xml:space="preserve">ě </w:t>
      </w:r>
      <w:r w:rsidRPr="00AC77DB">
        <w:rPr>
          <w:rFonts w:asciiTheme="majorHAnsi" w:hAnsiTheme="majorHAnsi" w:cs="Arial"/>
          <w:color w:val="000000"/>
          <w:shd w:val="clear" w:color="auto" w:fill="FFFFFF"/>
          <w:lang w:val="cs-CZ" w:eastAsia="cs-CZ" w:bidi="ar-SA"/>
        </w:rPr>
        <w:t xml:space="preserve">bankovní záruky. Doklad </w:t>
      </w:r>
      <w:r w:rsidR="00C76F82">
        <w:rPr>
          <w:rFonts w:asciiTheme="majorHAnsi" w:hAnsiTheme="majorHAnsi" w:cs="Arial"/>
          <w:color w:val="000000"/>
          <w:shd w:val="clear" w:color="auto" w:fill="FFFFFF"/>
          <w:lang w:val="cs-CZ" w:eastAsia="cs-CZ" w:bidi="ar-SA"/>
        </w:rPr>
        <w:t xml:space="preserve">o </w:t>
      </w:r>
      <w:r w:rsidRPr="00AC77DB">
        <w:rPr>
          <w:rFonts w:asciiTheme="majorHAnsi" w:hAnsiTheme="majorHAnsi" w:cs="Arial"/>
          <w:color w:val="000000"/>
          <w:shd w:val="clear" w:color="auto" w:fill="FFFFFF"/>
          <w:lang w:val="cs-CZ" w:eastAsia="cs-CZ" w:bidi="ar-SA"/>
        </w:rPr>
        <w:t>bankovní záru</w:t>
      </w:r>
      <w:r w:rsidR="005B207A" w:rsidRPr="00AC77DB">
        <w:rPr>
          <w:rFonts w:asciiTheme="majorHAnsi" w:hAnsiTheme="majorHAnsi" w:cs="Arial"/>
          <w:color w:val="000000"/>
          <w:shd w:val="clear" w:color="auto" w:fill="FFFFFF"/>
          <w:lang w:val="cs-CZ" w:eastAsia="cs-CZ" w:bidi="ar-SA"/>
        </w:rPr>
        <w:t>ce</w:t>
      </w:r>
      <w:r w:rsidRPr="00AC77DB">
        <w:rPr>
          <w:rFonts w:asciiTheme="majorHAnsi" w:hAnsiTheme="majorHAnsi" w:cs="Arial"/>
          <w:color w:val="000000"/>
          <w:shd w:val="clear" w:color="auto" w:fill="FFFFFF"/>
          <w:lang w:val="cs-CZ" w:eastAsia="cs-CZ" w:bidi="ar-SA"/>
        </w:rPr>
        <w:t xml:space="preserve"> předloží zhotovitel objednateli </w:t>
      </w:r>
      <w:r w:rsidR="00C76F82" w:rsidRPr="004905D4">
        <w:rPr>
          <w:rFonts w:asciiTheme="majorHAnsi" w:hAnsiTheme="majorHAnsi" w:cs="Arial"/>
          <w:color w:val="000000"/>
          <w:shd w:val="clear" w:color="auto" w:fill="FFFFFF"/>
          <w:lang w:val="cs-CZ" w:eastAsia="cs-CZ" w:bidi="ar-SA"/>
        </w:rPr>
        <w:t xml:space="preserve">nejpozději při </w:t>
      </w:r>
      <w:r w:rsidR="00C76F82">
        <w:rPr>
          <w:rFonts w:asciiTheme="majorHAnsi" w:hAnsiTheme="majorHAnsi" w:cs="Arial"/>
          <w:color w:val="000000"/>
          <w:shd w:val="clear" w:color="auto" w:fill="FFFFFF"/>
          <w:lang w:val="cs-CZ" w:eastAsia="cs-CZ" w:bidi="ar-SA"/>
        </w:rPr>
        <w:t>podpisu SoD</w:t>
      </w:r>
      <w:r w:rsidR="00C76F82" w:rsidRPr="004905D4">
        <w:rPr>
          <w:rFonts w:asciiTheme="majorHAnsi" w:hAnsiTheme="majorHAnsi" w:cs="Arial"/>
          <w:color w:val="000000"/>
          <w:shd w:val="clear" w:color="auto" w:fill="FFFFFF"/>
          <w:lang w:val="cs-CZ" w:eastAsia="cs-CZ" w:bidi="ar-SA"/>
        </w:rPr>
        <w:t>. Bankovní záruka v odpovídající výší musí být platná po celou dobu záruční lhůty</w:t>
      </w:r>
      <w:r w:rsidR="00C76F82">
        <w:rPr>
          <w:rFonts w:asciiTheme="majorHAnsi" w:hAnsiTheme="majorHAnsi" w:cs="Arial"/>
          <w:color w:val="000000"/>
          <w:shd w:val="clear" w:color="auto" w:fill="FFFFFF"/>
          <w:lang w:val="cs-CZ" w:eastAsia="cs-CZ" w:bidi="ar-SA"/>
        </w:rPr>
        <w:t xml:space="preserve"> (tzn. </w:t>
      </w:r>
      <w:r w:rsidR="00C76F82" w:rsidRPr="00DC2DC3">
        <w:rPr>
          <w:lang w:eastAsia="cs-CZ"/>
        </w:rPr>
        <w:t>nejméně do konce nej</w:t>
      </w:r>
      <w:r w:rsidR="00C76F82">
        <w:rPr>
          <w:lang w:eastAsia="cs-CZ"/>
        </w:rPr>
        <w:t xml:space="preserve">delší záruční doby) stanovené v této </w:t>
      </w:r>
      <w:r w:rsidR="00C76F82" w:rsidRPr="00DC2DC3">
        <w:rPr>
          <w:lang w:eastAsia="cs-CZ"/>
        </w:rPr>
        <w:t>smlouvě</w:t>
      </w:r>
      <w:r w:rsidR="00C76F82" w:rsidRPr="004905D4">
        <w:rPr>
          <w:rFonts w:asciiTheme="majorHAnsi" w:hAnsiTheme="majorHAnsi" w:cs="Arial"/>
          <w:color w:val="000000"/>
          <w:shd w:val="clear" w:color="auto" w:fill="FFFFFF"/>
          <w:lang w:val="cs-CZ" w:eastAsia="cs-CZ" w:bidi="ar-SA"/>
        </w:rPr>
        <w:t>.</w:t>
      </w:r>
    </w:p>
    <w:p w14:paraId="5D5CFC33" w14:textId="77777777" w:rsidR="005B207A" w:rsidRPr="00AC77DB" w:rsidRDefault="005B207A" w:rsidP="00782953">
      <w:pPr>
        <w:spacing w:after="0"/>
        <w:ind w:left="709" w:firstLine="0"/>
        <w:jc w:val="both"/>
        <w:rPr>
          <w:rFonts w:asciiTheme="majorHAnsi" w:hAnsiTheme="majorHAnsi" w:cs="Arial"/>
          <w:color w:val="000000"/>
          <w:shd w:val="clear" w:color="auto" w:fill="FFFFFF"/>
          <w:lang w:val="cs-CZ" w:eastAsia="cs-CZ" w:bidi="ar-SA"/>
        </w:rPr>
      </w:pPr>
    </w:p>
    <w:p w14:paraId="534408DE" w14:textId="77777777" w:rsidR="00782953" w:rsidRPr="00AC77DB" w:rsidRDefault="00782953" w:rsidP="00782953">
      <w:pPr>
        <w:spacing w:after="0"/>
        <w:ind w:left="709" w:firstLine="0"/>
        <w:jc w:val="both"/>
        <w:rPr>
          <w:rFonts w:asciiTheme="majorHAnsi" w:hAnsiTheme="majorHAnsi" w:cs="Arial"/>
          <w:color w:val="000000"/>
          <w:shd w:val="clear" w:color="auto" w:fill="FFFFFF"/>
          <w:lang w:val="cs-CZ" w:eastAsia="cs-CZ" w:bidi="ar-SA"/>
        </w:rPr>
      </w:pPr>
      <w:r w:rsidRPr="00AC77DB">
        <w:rPr>
          <w:rFonts w:asciiTheme="majorHAnsi" w:hAnsiTheme="maj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AC77DB">
        <w:rPr>
          <w:rFonts w:asciiTheme="majorHAnsi" w:hAnsiTheme="majorHAnsi" w:cs="Arial"/>
          <w:color w:val="000000"/>
          <w:shd w:val="clear" w:color="auto" w:fill="FFFFFF"/>
          <w:lang w:val="cs-CZ" w:eastAsia="cs-CZ" w:bidi="ar-SA"/>
        </w:rPr>
        <w:t>jejímu</w:t>
      </w:r>
      <w:r w:rsidRPr="00AC77DB">
        <w:rPr>
          <w:rFonts w:asciiTheme="majorHAnsi" w:hAnsiTheme="maj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74150C67" w14:textId="77777777" w:rsidR="00782953" w:rsidRPr="00AC77DB" w:rsidRDefault="00782953" w:rsidP="00782953">
      <w:pPr>
        <w:jc w:val="both"/>
        <w:rPr>
          <w:lang w:val="cs-CZ"/>
        </w:rPr>
      </w:pPr>
    </w:p>
    <w:p w14:paraId="6689D0DD" w14:textId="77777777" w:rsidR="00ED3010" w:rsidRPr="00AC77DB" w:rsidRDefault="00EF7463" w:rsidP="00EF7463">
      <w:pPr>
        <w:pStyle w:val="Nadpis1"/>
        <w:spacing w:before="240"/>
        <w:ind w:left="4253" w:hanging="3827"/>
        <w:jc w:val="center"/>
        <w:rPr>
          <w:b w:val="0"/>
        </w:rPr>
      </w:pPr>
      <w:r w:rsidRPr="00AC77DB">
        <w:rPr>
          <w:sz w:val="22"/>
          <w:szCs w:val="22"/>
        </w:rPr>
        <w:t>Článek 10</w:t>
      </w:r>
    </w:p>
    <w:p w14:paraId="501E9B74" w14:textId="77777777" w:rsidR="00ED3010" w:rsidRPr="00AC77DB" w:rsidRDefault="00ED3010" w:rsidP="009E764D">
      <w:pPr>
        <w:spacing w:before="120" w:after="120"/>
        <w:ind w:left="850" w:hanging="425"/>
        <w:jc w:val="center"/>
        <w:rPr>
          <w:b/>
          <w:caps/>
          <w:lang w:val="cs-CZ"/>
        </w:rPr>
      </w:pPr>
      <w:r w:rsidRPr="00AC77DB">
        <w:rPr>
          <w:b/>
          <w:caps/>
          <w:lang w:val="cs-CZ"/>
        </w:rPr>
        <w:t>Smluvní pokuty</w:t>
      </w:r>
    </w:p>
    <w:p w14:paraId="413EA3EE" w14:textId="77777777" w:rsidR="00ED3010" w:rsidRPr="00AC77DB" w:rsidRDefault="00ED3010" w:rsidP="00306955">
      <w:pPr>
        <w:ind w:firstLine="360"/>
        <w:jc w:val="both"/>
        <w:rPr>
          <w:lang w:val="cs-CZ"/>
        </w:rPr>
      </w:pPr>
      <w:r w:rsidRPr="00AC77DB">
        <w:rPr>
          <w:lang w:val="cs-CZ"/>
        </w:rPr>
        <w:t>Smluvní strany se dohodly na následujících smluvních pokutách:</w:t>
      </w:r>
    </w:p>
    <w:p w14:paraId="1B23C5CB" w14:textId="77777777" w:rsidR="00D705D7" w:rsidRPr="00AC77DB" w:rsidRDefault="00D705D7" w:rsidP="00C97B43">
      <w:pPr>
        <w:numPr>
          <w:ilvl w:val="0"/>
          <w:numId w:val="13"/>
        </w:numPr>
        <w:spacing w:after="0"/>
        <w:jc w:val="both"/>
        <w:rPr>
          <w:lang w:val="cs-CZ"/>
        </w:rPr>
      </w:pPr>
      <w:r w:rsidRPr="00AC77DB">
        <w:rPr>
          <w:lang w:val="cs-CZ"/>
        </w:rPr>
        <w:t xml:space="preserve">Při </w:t>
      </w:r>
      <w:r w:rsidRPr="00AC77DB">
        <w:rPr>
          <w:b/>
          <w:u w:val="single"/>
          <w:lang w:val="cs-CZ"/>
        </w:rPr>
        <w:t>prodlení s termínem zahájení prací</w:t>
      </w:r>
      <w:r w:rsidRPr="00AC77DB">
        <w:rPr>
          <w:b/>
          <w:lang w:val="cs-CZ"/>
        </w:rPr>
        <w:t xml:space="preserve"> </w:t>
      </w:r>
      <w:r w:rsidRPr="00AC77DB">
        <w:rPr>
          <w:lang w:val="cs-CZ"/>
        </w:rPr>
        <w:t xml:space="preserve"> je objednatel oprávněn účtovat zhotoviteli smluvní pokutu ve výši </w:t>
      </w:r>
      <w:r w:rsidR="00085A90" w:rsidRPr="00AC77DB">
        <w:rPr>
          <w:lang w:val="cs-CZ"/>
        </w:rPr>
        <w:t>5.</w:t>
      </w:r>
      <w:r w:rsidRPr="00AC77DB">
        <w:rPr>
          <w:lang w:val="cs-CZ"/>
        </w:rPr>
        <w:t>000,- Kč  bez DPH za každý započatý den.</w:t>
      </w:r>
    </w:p>
    <w:p w14:paraId="4667B88A" w14:textId="09D0260E" w:rsidR="00ED3010"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w:t>
      </w:r>
      <w:r w:rsidR="00D705D7" w:rsidRPr="00AC77DB">
        <w:rPr>
          <w:b/>
          <w:u w:val="single"/>
          <w:lang w:val="cs-CZ"/>
        </w:rPr>
        <w:t xml:space="preserve">ukončení a </w:t>
      </w:r>
      <w:r w:rsidRPr="00AC77DB">
        <w:rPr>
          <w:b/>
          <w:u w:val="single"/>
          <w:lang w:val="cs-CZ"/>
        </w:rPr>
        <w:t>předání díla</w:t>
      </w:r>
      <w:r w:rsidRPr="00AC77DB">
        <w:rPr>
          <w:lang w:val="cs-CZ"/>
        </w:rPr>
        <w:t xml:space="preserve"> je objednatel oprávněn účtovat zhotoviteli smluvní pokutu </w:t>
      </w:r>
      <w:r w:rsidR="00D72D7A" w:rsidRPr="00AC77DB">
        <w:rPr>
          <w:lang w:val="cs-CZ"/>
        </w:rPr>
        <w:t>ve výši</w:t>
      </w:r>
      <w:r w:rsidR="004905D4" w:rsidRPr="00AC77DB">
        <w:rPr>
          <w:lang w:val="cs-CZ"/>
        </w:rPr>
        <w:t xml:space="preserve"> </w:t>
      </w:r>
      <w:r w:rsidR="00DE5D0A">
        <w:rPr>
          <w:lang w:val="cs-CZ"/>
        </w:rPr>
        <w:t>7</w:t>
      </w:r>
      <w:r w:rsidR="00296C68" w:rsidRPr="00AC77DB">
        <w:rPr>
          <w:lang w:val="cs-CZ"/>
        </w:rPr>
        <w:t>00</w:t>
      </w:r>
      <w:r w:rsidR="00085A90" w:rsidRPr="00AC77DB">
        <w:rPr>
          <w:lang w:val="cs-CZ"/>
        </w:rPr>
        <w:t xml:space="preserve">.000,- Kč bez DPH za 1. den prodlení a dále </w:t>
      </w:r>
      <w:r w:rsidR="00AD4587" w:rsidRPr="00AC77DB">
        <w:rPr>
          <w:lang w:val="cs-CZ"/>
        </w:rPr>
        <w:t>5</w:t>
      </w:r>
      <w:r w:rsidR="00D72D7A" w:rsidRPr="00AC77DB">
        <w:rPr>
          <w:lang w:val="cs-CZ"/>
        </w:rPr>
        <w:t>0</w:t>
      </w:r>
      <w:r w:rsidR="00085A90" w:rsidRPr="00AC77DB">
        <w:rPr>
          <w:lang w:val="cs-CZ"/>
        </w:rPr>
        <w:t>.</w:t>
      </w:r>
      <w:r w:rsidR="00AD4587" w:rsidRPr="00AC77DB">
        <w:rPr>
          <w:lang w:val="cs-CZ"/>
        </w:rPr>
        <w:t xml:space="preserve">000,- Kč </w:t>
      </w:r>
      <w:r w:rsidR="00D72D7A" w:rsidRPr="00AC77DB">
        <w:rPr>
          <w:lang w:val="cs-CZ"/>
        </w:rPr>
        <w:t xml:space="preserve">bez DPH za každý </w:t>
      </w:r>
      <w:r w:rsidR="00085A90" w:rsidRPr="00AC77DB">
        <w:rPr>
          <w:lang w:val="cs-CZ"/>
        </w:rPr>
        <w:t xml:space="preserve">další </w:t>
      </w:r>
      <w:r w:rsidR="00D72D7A" w:rsidRPr="00AC77DB">
        <w:rPr>
          <w:lang w:val="cs-CZ"/>
        </w:rPr>
        <w:t xml:space="preserve">den </w:t>
      </w:r>
      <w:r w:rsidR="00BF37C2" w:rsidRPr="00AC77DB">
        <w:rPr>
          <w:lang w:val="cs-CZ"/>
        </w:rPr>
        <w:t>prodlení až</w:t>
      </w:r>
      <w:r w:rsidRPr="00AC77DB">
        <w:rPr>
          <w:lang w:val="cs-CZ"/>
        </w:rPr>
        <w:t xml:space="preserve"> do dne úspěšného předání a převzetí díla</w:t>
      </w:r>
      <w:r w:rsidR="00422393" w:rsidRPr="00AC77DB">
        <w:rPr>
          <w:lang w:val="cs-CZ"/>
        </w:rPr>
        <w:t xml:space="preserve"> dle Článku </w:t>
      </w:r>
      <w:r w:rsidR="00C97B43" w:rsidRPr="00AC77DB">
        <w:rPr>
          <w:lang w:val="cs-CZ"/>
        </w:rPr>
        <w:t>8</w:t>
      </w:r>
      <w:r w:rsidR="00CD6A64" w:rsidRPr="00AC77DB">
        <w:rPr>
          <w:lang w:val="cs-CZ"/>
        </w:rPr>
        <w:t xml:space="preserve"> této smlouvy.</w:t>
      </w:r>
    </w:p>
    <w:p w14:paraId="141F5E07" w14:textId="1EC6BBB7" w:rsidR="00127586" w:rsidRPr="00AC77DB" w:rsidRDefault="00BF37C2" w:rsidP="00127586">
      <w:pPr>
        <w:numPr>
          <w:ilvl w:val="0"/>
          <w:numId w:val="13"/>
        </w:numPr>
        <w:spacing w:after="0"/>
        <w:jc w:val="both"/>
        <w:rPr>
          <w:lang w:val="cs-CZ"/>
        </w:rPr>
      </w:pPr>
      <w:r w:rsidRPr="00AC77DB">
        <w:rPr>
          <w:lang w:val="cs-CZ"/>
        </w:rPr>
        <w:t>Při</w:t>
      </w:r>
      <w:r w:rsidRPr="00AC77DB">
        <w:rPr>
          <w:b/>
          <w:lang w:val="cs-CZ"/>
        </w:rPr>
        <w:t xml:space="preserve"> </w:t>
      </w:r>
      <w:r w:rsidRPr="00AC77DB">
        <w:rPr>
          <w:b/>
          <w:u w:val="single"/>
          <w:lang w:val="cs-CZ"/>
        </w:rPr>
        <w:t xml:space="preserve">nedodržení </w:t>
      </w:r>
      <w:proofErr w:type="spellStart"/>
      <w:r w:rsidRPr="00AC77DB">
        <w:rPr>
          <w:b/>
          <w:u w:val="single"/>
          <w:lang w:val="cs-CZ"/>
        </w:rPr>
        <w:t>prostavě</w:t>
      </w:r>
      <w:r w:rsidR="00127586" w:rsidRPr="00AC77DB">
        <w:rPr>
          <w:b/>
          <w:u w:val="single"/>
          <w:lang w:val="cs-CZ"/>
        </w:rPr>
        <w:t>nosti</w:t>
      </w:r>
      <w:proofErr w:type="spellEnd"/>
      <w:r w:rsidR="005B207A" w:rsidRPr="00AC77DB">
        <w:rPr>
          <w:b/>
          <w:u w:val="single"/>
          <w:lang w:val="cs-CZ"/>
        </w:rPr>
        <w:t xml:space="preserve"> a profinancování</w:t>
      </w:r>
      <w:r w:rsidR="00830A4F" w:rsidRPr="00AC77DB">
        <w:rPr>
          <w:b/>
          <w:u w:val="single"/>
          <w:lang w:val="cs-CZ"/>
        </w:rPr>
        <w:t xml:space="preserve"> (</w:t>
      </w:r>
      <w:r w:rsidR="007A1AD0" w:rsidRPr="00AC77DB">
        <w:rPr>
          <w:b/>
          <w:u w:val="single"/>
          <w:lang w:val="cs-CZ"/>
        </w:rPr>
        <w:t>vy</w:t>
      </w:r>
      <w:r w:rsidR="00830A4F" w:rsidRPr="00AC77DB">
        <w:rPr>
          <w:b/>
          <w:u w:val="single"/>
          <w:lang w:val="cs-CZ"/>
        </w:rPr>
        <w:t>fakturování)</w:t>
      </w:r>
      <w:r w:rsidR="00127586" w:rsidRPr="00AC77DB">
        <w:rPr>
          <w:b/>
          <w:u w:val="single"/>
          <w:lang w:val="cs-CZ"/>
        </w:rPr>
        <w:t xml:space="preserve"> min. 15 % z ceny díla do 2</w:t>
      </w:r>
      <w:r w:rsidR="008A2E3D">
        <w:rPr>
          <w:b/>
          <w:u w:val="single"/>
          <w:lang w:val="cs-CZ"/>
        </w:rPr>
        <w:t>5</w:t>
      </w:r>
      <w:bookmarkStart w:id="0" w:name="_GoBack"/>
      <w:bookmarkEnd w:id="0"/>
      <w:r w:rsidRPr="00AC77DB">
        <w:rPr>
          <w:b/>
          <w:u w:val="single"/>
          <w:lang w:val="cs-CZ"/>
        </w:rPr>
        <w:t>.6.2014</w:t>
      </w:r>
      <w:r w:rsidRPr="00AC77DB">
        <w:rPr>
          <w:lang w:val="cs-CZ"/>
        </w:rPr>
        <w:t xml:space="preserve"> je objednatel oprávněn účtovat zhotoviteli jedno</w:t>
      </w:r>
      <w:r w:rsidR="004905D4" w:rsidRPr="00AC77DB">
        <w:rPr>
          <w:lang w:val="cs-CZ"/>
        </w:rPr>
        <w:t xml:space="preserve">rázovou smluvní pokutu ve výši </w:t>
      </w:r>
      <w:r w:rsidR="00DE5D0A">
        <w:rPr>
          <w:lang w:val="cs-CZ"/>
        </w:rPr>
        <w:t>1.4</w:t>
      </w:r>
      <w:r w:rsidRPr="00AC77DB">
        <w:rPr>
          <w:lang w:val="cs-CZ"/>
        </w:rPr>
        <w:t>00.000,- Kč bez DPH.</w:t>
      </w:r>
    </w:p>
    <w:p w14:paraId="1266E87F" w14:textId="77777777" w:rsidR="00ED3010"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zhotoviteli smluvní pokutu ve výši </w:t>
      </w:r>
      <w:r w:rsidR="00085A90" w:rsidRPr="00AC77DB">
        <w:rPr>
          <w:lang w:val="cs-CZ"/>
        </w:rPr>
        <w:t>5.</w:t>
      </w:r>
      <w:r w:rsidR="004F3A1C" w:rsidRPr="00AC77DB">
        <w:rPr>
          <w:lang w:val="cs-CZ"/>
        </w:rPr>
        <w:t>0</w:t>
      </w:r>
      <w:r w:rsidR="00306955" w:rsidRPr="00AC77DB">
        <w:rPr>
          <w:lang w:val="cs-CZ"/>
        </w:rPr>
        <w:t>00</w:t>
      </w:r>
      <w:r w:rsidRPr="00AC77DB">
        <w:rPr>
          <w:lang w:val="cs-CZ"/>
        </w:rPr>
        <w:t>,- bez DPH za každý den prodlení až do dne jejich odstranění včetně.</w:t>
      </w:r>
    </w:p>
    <w:p w14:paraId="10F1FB39" w14:textId="77777777" w:rsidR="00D705D7" w:rsidRPr="00AC77DB" w:rsidRDefault="00D705D7" w:rsidP="00C97B43">
      <w:pPr>
        <w:numPr>
          <w:ilvl w:val="0"/>
          <w:numId w:val="13"/>
        </w:numPr>
        <w:spacing w:after="0"/>
        <w:jc w:val="both"/>
        <w:rPr>
          <w:lang w:val="cs-CZ"/>
        </w:rPr>
      </w:pPr>
      <w:r w:rsidRPr="00AC77DB">
        <w:rPr>
          <w:lang w:val="cs-CZ"/>
        </w:rPr>
        <w:t xml:space="preserve">Při </w:t>
      </w:r>
      <w:r w:rsidRPr="00AC77DB">
        <w:rPr>
          <w:b/>
          <w:u w:val="single"/>
          <w:lang w:val="cs-CZ"/>
        </w:rPr>
        <w:t>prodlení s vyklizením staveniště</w:t>
      </w:r>
      <w:r w:rsidRPr="00AC77DB">
        <w:rPr>
          <w:lang w:val="cs-CZ"/>
        </w:rPr>
        <w:t xml:space="preserve"> je objednatel oprávněn účtovat zhotoviteli smluvní pokutu ve výši </w:t>
      </w:r>
      <w:r w:rsidR="00085A90" w:rsidRPr="00AC77DB">
        <w:rPr>
          <w:lang w:val="cs-CZ"/>
        </w:rPr>
        <w:t>3.</w:t>
      </w:r>
      <w:r w:rsidRPr="00AC77DB">
        <w:rPr>
          <w:lang w:val="cs-CZ"/>
        </w:rPr>
        <w:t xml:space="preserve">000,- Kč bez DPH za každý den prodlení až do úplného vyklizení staveniště dle této smlouvy. </w:t>
      </w:r>
    </w:p>
    <w:p w14:paraId="2E3F7E31" w14:textId="77777777" w:rsidR="00127586" w:rsidRPr="00AC77DB"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Pr="00AC77DB">
        <w:rPr>
          <w:rFonts w:asciiTheme="minorHAnsi" w:hAnsiTheme="minorHAnsi" w:cs="Arial"/>
          <w:b/>
          <w:color w:val="000000"/>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je objednatel oprávněn účtovat zhot</w:t>
      </w:r>
      <w:r w:rsidR="001D02F7" w:rsidRPr="00AC77DB">
        <w:rPr>
          <w:rFonts w:asciiTheme="minorHAnsi" w:hAnsiTheme="minorHAnsi" w:cs="Arial"/>
          <w:color w:val="000000"/>
          <w:shd w:val="clear" w:color="auto" w:fill="FFFFFF"/>
          <w:lang w:val="cs-CZ" w:eastAsia="cs-CZ" w:bidi="ar-SA"/>
        </w:rPr>
        <w:t>oviteli smluvní pokutu ve výši 20</w:t>
      </w:r>
      <w:r w:rsidR="00B33F54" w:rsidRPr="00AC77DB">
        <w:rPr>
          <w:rFonts w:asciiTheme="minorHAnsi" w:hAnsiTheme="minorHAnsi" w:cs="Arial"/>
          <w:color w:val="000000"/>
          <w:shd w:val="clear" w:color="auto" w:fill="FFFFFF"/>
          <w:lang w:val="cs-CZ" w:eastAsia="cs-CZ" w:bidi="ar-SA"/>
        </w:rPr>
        <w:t>.</w:t>
      </w:r>
      <w:r w:rsidRPr="00AC77DB">
        <w:rPr>
          <w:rFonts w:asciiTheme="minorHAnsi" w:hAnsiTheme="minorHAnsi" w:cs="Arial"/>
          <w:color w:val="000000"/>
          <w:shd w:val="clear" w:color="auto" w:fill="FFFFFF"/>
          <w:lang w:val="cs-CZ" w:eastAsia="cs-CZ" w:bidi="ar-SA"/>
        </w:rPr>
        <w:t>000,- za každý takový případ porušení zjištěný koordinátorem BOZP a uvedený v zápisu Z kontrolního dne koordinátora BOZP.</w:t>
      </w:r>
    </w:p>
    <w:p w14:paraId="54D8F863" w14:textId="77777777" w:rsidR="00C275D1"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prodlení objednatele s platbou faktur</w:t>
      </w:r>
      <w:r w:rsidRPr="00AC77DB">
        <w:rPr>
          <w:lang w:val="cs-CZ"/>
        </w:rPr>
        <w:t xml:space="preserve"> je zhotovitel oprávněn účtovat objednateli úrok z prodlení ve výši 0,</w:t>
      </w:r>
      <w:r w:rsidR="00085A90" w:rsidRPr="00AC77DB">
        <w:rPr>
          <w:lang w:val="cs-CZ"/>
        </w:rPr>
        <w:t>25</w:t>
      </w:r>
      <w:r w:rsidRPr="00AC77DB">
        <w:rPr>
          <w:lang w:val="cs-CZ"/>
        </w:rPr>
        <w:t>% z </w:t>
      </w:r>
      <w:r w:rsidR="005D5DF8" w:rsidRPr="00AC77DB">
        <w:rPr>
          <w:lang w:val="cs-CZ"/>
        </w:rPr>
        <w:t>dlužné</w:t>
      </w:r>
      <w:r w:rsidRPr="00AC77DB">
        <w:rPr>
          <w:lang w:val="cs-CZ"/>
        </w:rPr>
        <w:t xml:space="preserve"> částky bez DPH za každý den zpoždění.</w:t>
      </w:r>
    </w:p>
    <w:p w14:paraId="691F338B" w14:textId="77777777" w:rsidR="00D705D7" w:rsidRPr="00AC77DB" w:rsidRDefault="00D705D7" w:rsidP="00C97B43">
      <w:pPr>
        <w:numPr>
          <w:ilvl w:val="0"/>
          <w:numId w:val="13"/>
        </w:numPr>
        <w:spacing w:after="0"/>
        <w:jc w:val="both"/>
        <w:rPr>
          <w:lang w:val="cs-CZ"/>
        </w:rPr>
      </w:pPr>
      <w:r w:rsidRPr="00AC77DB">
        <w:rPr>
          <w:lang w:val="cs-CZ"/>
        </w:rPr>
        <w:t xml:space="preserve">V případě, že objednateli vznikne z ujednání této </w:t>
      </w:r>
      <w:proofErr w:type="spellStart"/>
      <w:r w:rsidRPr="00AC77DB">
        <w:rPr>
          <w:lang w:val="cs-CZ"/>
        </w:rPr>
        <w:t>SoD</w:t>
      </w:r>
      <w:proofErr w:type="spellEnd"/>
      <w:r w:rsidRPr="00AC77DB">
        <w:rPr>
          <w:lang w:val="cs-CZ"/>
        </w:rPr>
        <w:t xml:space="preserve"> nárok na smluvní pokutu nebo jinou majetkovou sankci vůči zhotoviteli, je objednatel oprávněn odečíst tuto částku z jakéhokoliv daňového dokladu a snížit o ni částku k úhradě.</w:t>
      </w:r>
    </w:p>
    <w:p w14:paraId="6D0953D4" w14:textId="77777777" w:rsidR="00BD5AE0" w:rsidRPr="00AC77DB" w:rsidRDefault="00BD5AE0" w:rsidP="00C97B43">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AC77DB" w:rsidRDefault="00BD5AE0" w:rsidP="00C97B43">
      <w:pPr>
        <w:widowControl w:val="0"/>
        <w:numPr>
          <w:ilvl w:val="0"/>
          <w:numId w:val="13"/>
        </w:numPr>
        <w:spacing w:after="0"/>
        <w:jc w:val="both"/>
        <w:rPr>
          <w:lang w:val="cs-CZ"/>
        </w:rPr>
      </w:pPr>
      <w:r w:rsidRPr="00AC77DB">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AC77DB" w:rsidRDefault="00D705D7" w:rsidP="00C97B43">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14:paraId="653ED8AD" w14:textId="77777777" w:rsidR="00D705D7" w:rsidRPr="00AC77DB" w:rsidRDefault="00D705D7" w:rsidP="00BD5AE0">
      <w:pPr>
        <w:spacing w:after="0"/>
        <w:ind w:firstLine="0"/>
        <w:rPr>
          <w:lang w:val="cs-CZ"/>
        </w:rPr>
      </w:pPr>
    </w:p>
    <w:p w14:paraId="370B44FB" w14:textId="77777777" w:rsidR="00422393" w:rsidRPr="00AC77DB" w:rsidRDefault="00EF7463" w:rsidP="00EF7463">
      <w:pPr>
        <w:pStyle w:val="Nadpis1"/>
        <w:spacing w:before="240"/>
        <w:ind w:left="4253" w:hanging="3827"/>
        <w:jc w:val="center"/>
        <w:rPr>
          <w:b w:val="0"/>
        </w:rPr>
      </w:pPr>
      <w:r w:rsidRPr="00AC77DB">
        <w:rPr>
          <w:sz w:val="22"/>
          <w:szCs w:val="22"/>
        </w:rPr>
        <w:t>Článek 11</w:t>
      </w:r>
    </w:p>
    <w:p w14:paraId="46622CBF" w14:textId="77777777"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14:paraId="3F5B73E1" w14:textId="77777777"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14:paraId="32794612" w14:textId="77777777"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14:paraId="7181F761"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14:paraId="21FC3216"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14:paraId="631A348E"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14:paraId="7F5F1F1F"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14:paraId="7F39EBE8"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14:paraId="6C1C2907" w14:textId="77777777"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14:paraId="0F5ED43A" w14:textId="77777777" w:rsidR="00F31E77" w:rsidRPr="00AC77DB" w:rsidRDefault="00580F50" w:rsidP="00F31E77">
      <w:pPr>
        <w:pStyle w:val="Odstavecseseznamem"/>
        <w:numPr>
          <w:ilvl w:val="0"/>
          <w:numId w:val="29"/>
        </w:numPr>
        <w:spacing w:after="0"/>
        <w:ind w:left="993" w:hanging="284"/>
        <w:jc w:val="both"/>
        <w:rPr>
          <w:lang w:val="cs-CZ"/>
        </w:rPr>
      </w:pPr>
      <w:r w:rsidRPr="00AC77DB">
        <w:rPr>
          <w:lang w:val="cs-CZ"/>
        </w:rPr>
        <w:t>nedojde k podpisu Smlouvy o poskytnutí dotace na předmět plnění mezi objednatelem a poskytovatelem dotace</w:t>
      </w:r>
      <w:r w:rsidR="00296C68" w:rsidRPr="00AC77DB">
        <w:rPr>
          <w:lang w:val="cs-CZ"/>
        </w:rPr>
        <w:t>,</w:t>
      </w:r>
    </w:p>
    <w:p w14:paraId="44007117" w14:textId="77777777"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14:paraId="5F252654" w14:textId="77777777" w:rsidR="00422393" w:rsidRPr="00AC77DB" w:rsidRDefault="00EF7463" w:rsidP="00EF7463">
      <w:pPr>
        <w:pStyle w:val="Nadpis1"/>
        <w:spacing w:before="240"/>
        <w:ind w:left="4253" w:hanging="3827"/>
        <w:jc w:val="center"/>
        <w:rPr>
          <w:b w:val="0"/>
        </w:rPr>
      </w:pPr>
      <w:r w:rsidRPr="00AC77DB">
        <w:rPr>
          <w:sz w:val="22"/>
          <w:szCs w:val="22"/>
        </w:rPr>
        <w:t>Článek 12</w:t>
      </w:r>
    </w:p>
    <w:p w14:paraId="2F3C5D74" w14:textId="77777777" w:rsidR="00422393" w:rsidRPr="00AC77DB" w:rsidRDefault="00422393" w:rsidP="009E764D">
      <w:pPr>
        <w:spacing w:before="120" w:after="120"/>
        <w:ind w:left="850" w:hanging="425"/>
        <w:jc w:val="center"/>
        <w:rPr>
          <w:b/>
          <w:caps/>
          <w:lang w:val="cs-CZ"/>
        </w:rPr>
      </w:pPr>
      <w:r w:rsidRPr="00AC77DB">
        <w:rPr>
          <w:b/>
          <w:caps/>
          <w:lang w:val="cs-CZ"/>
        </w:rPr>
        <w:t>Stavební deník</w:t>
      </w:r>
    </w:p>
    <w:p w14:paraId="39D9E510" w14:textId="77777777"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773559F2" w14:textId="77777777"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14:paraId="54C88F86" w14:textId="77777777"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14:paraId="198FF920" w14:textId="77777777"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14:paraId="43550329" w14:textId="77777777"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0547FCF9" w14:textId="77777777" w:rsidR="00810828" w:rsidRDefault="00810828" w:rsidP="00810828">
      <w:pPr>
        <w:ind w:left="714" w:firstLine="0"/>
        <w:jc w:val="both"/>
        <w:rPr>
          <w:lang w:val="cs-CZ"/>
        </w:rPr>
      </w:pPr>
    </w:p>
    <w:p w14:paraId="230676BA" w14:textId="77777777" w:rsidR="00DE5D0A" w:rsidRPr="00AC77DB" w:rsidRDefault="00DE5D0A" w:rsidP="00810828">
      <w:pPr>
        <w:ind w:left="714" w:firstLine="0"/>
        <w:jc w:val="both"/>
        <w:rPr>
          <w:lang w:val="cs-CZ"/>
        </w:rPr>
      </w:pPr>
    </w:p>
    <w:p w14:paraId="226E8B50" w14:textId="77777777" w:rsidR="00455139" w:rsidRPr="00AC77DB" w:rsidRDefault="00EF7463" w:rsidP="00EF7463">
      <w:pPr>
        <w:pStyle w:val="Nadpis1"/>
        <w:spacing w:before="240"/>
        <w:ind w:left="4253" w:hanging="3827"/>
        <w:jc w:val="center"/>
        <w:rPr>
          <w:b w:val="0"/>
        </w:rPr>
      </w:pPr>
      <w:r w:rsidRPr="00AC77DB">
        <w:rPr>
          <w:sz w:val="22"/>
          <w:szCs w:val="22"/>
        </w:rPr>
        <w:t>Článek 13</w:t>
      </w:r>
    </w:p>
    <w:p w14:paraId="05E348DE" w14:textId="77777777" w:rsidR="00455139" w:rsidRPr="00AC77DB" w:rsidRDefault="00455139" w:rsidP="009E764D">
      <w:pPr>
        <w:spacing w:before="120" w:after="120"/>
        <w:ind w:left="850" w:hanging="425"/>
        <w:jc w:val="center"/>
        <w:rPr>
          <w:b/>
          <w:caps/>
          <w:lang w:val="cs-CZ"/>
        </w:rPr>
      </w:pPr>
      <w:r w:rsidRPr="00AC77DB">
        <w:rPr>
          <w:b/>
          <w:caps/>
          <w:lang w:val="cs-CZ"/>
        </w:rPr>
        <w:t>Povinnosti zhotovitele</w:t>
      </w:r>
    </w:p>
    <w:p w14:paraId="7B6F2717" w14:textId="77777777"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14:paraId="7240DDE7" w14:textId="77777777"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14:paraId="3D8DDF07" w14:textId="77777777"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14:paraId="06B1EFFB" w14:textId="77777777" w:rsidR="00422393" w:rsidRPr="00AC77DB" w:rsidRDefault="00455139" w:rsidP="00C97B43">
      <w:pPr>
        <w:numPr>
          <w:ilvl w:val="0"/>
          <w:numId w:val="23"/>
        </w:numPr>
        <w:jc w:val="both"/>
        <w:rPr>
          <w:lang w:val="cs-CZ"/>
        </w:rPr>
      </w:pPr>
      <w:r w:rsidRPr="00AC77DB">
        <w:rPr>
          <w:lang w:val="cs-CZ"/>
        </w:rPr>
        <w:t xml:space="preserve">Zhotovitel je povinen do 14 dnů od podpisu této </w:t>
      </w:r>
      <w:proofErr w:type="spellStart"/>
      <w:r w:rsidRPr="00AC77DB">
        <w:rPr>
          <w:lang w:val="cs-CZ"/>
        </w:rPr>
        <w:t>SoD</w:t>
      </w:r>
      <w:proofErr w:type="spellEnd"/>
      <w:r w:rsidRPr="00AC77DB">
        <w:rPr>
          <w:lang w:val="cs-CZ"/>
        </w:rPr>
        <w:t xml:space="preserve"> předložit pojistnou smlouvu na pojištění majetku – stavby, ve výší odpovídající hodnotě stavby s platností na dobu stavby / do nabití právní moci kolaudačního rozhodnutí.</w:t>
      </w:r>
    </w:p>
    <w:p w14:paraId="73501AE4" w14:textId="77777777"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14:paraId="63248B32" w14:textId="77777777" w:rsidR="005A3276" w:rsidRPr="00AC77DB" w:rsidRDefault="00E42777" w:rsidP="00C97B43">
      <w:pPr>
        <w:numPr>
          <w:ilvl w:val="0"/>
          <w:numId w:val="23"/>
        </w:numPr>
        <w:jc w:val="both"/>
        <w:rPr>
          <w:lang w:val="cs-CZ"/>
        </w:rPr>
      </w:pPr>
      <w:r w:rsidRPr="00AC77DB">
        <w:rPr>
          <w:lang w:val="cs-CZ"/>
        </w:rPr>
        <w:t>Zhotovitel je povinen dodržovat pravidla publicity v souladu s </w:t>
      </w:r>
      <w:r w:rsidR="005A3276" w:rsidRPr="00AC77DB">
        <w:rPr>
          <w:lang w:val="cs-CZ"/>
        </w:rPr>
        <w:t xml:space="preserve"> Příručky pro příjemce (dále jen „Závazné pokyny“), ve standardu podle grafického manuálu povinné publicity pro ROP SZ.</w:t>
      </w:r>
    </w:p>
    <w:p w14:paraId="0BFCEC70" w14:textId="77777777"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14:paraId="01072E0D" w14:textId="77777777" w:rsidR="005D2F11" w:rsidRPr="00AC77DB" w:rsidRDefault="005D2F11" w:rsidP="005D2F11">
      <w:pPr>
        <w:numPr>
          <w:ilvl w:val="0"/>
          <w:numId w:val="23"/>
        </w:numPr>
        <w:spacing w:after="0"/>
        <w:jc w:val="both"/>
        <w:rPr>
          <w:lang w:val="cs-CZ"/>
        </w:rPr>
      </w:pPr>
      <w:r w:rsidRPr="00AC77DB">
        <w:rPr>
          <w:lang w:val="cs-CZ"/>
        </w:rPr>
        <w:t xml:space="preserve">V případě, že zhotovitel prokazoval splnění kvalifikace ve veřejné zakázce prostřednictvím subdodavatele podle </w:t>
      </w:r>
      <w:proofErr w:type="spellStart"/>
      <w:r w:rsidRPr="00AC77DB">
        <w:rPr>
          <w:lang w:val="cs-CZ"/>
        </w:rPr>
        <w:t>ust</w:t>
      </w:r>
      <w:proofErr w:type="spellEnd"/>
      <w:r w:rsidRPr="00AC77DB">
        <w:rPr>
          <w:lang w:val="cs-CZ"/>
        </w:rPr>
        <w: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14:paraId="0B7E6664" w14:textId="77777777"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14:paraId="0B2AD09E" w14:textId="77777777" w:rsidR="005D2F11" w:rsidRPr="00AC77DB" w:rsidRDefault="005D2F11" w:rsidP="005D2F11">
      <w:pPr>
        <w:ind w:left="360" w:firstLine="0"/>
        <w:jc w:val="both"/>
        <w:rPr>
          <w:lang w:val="cs-CZ"/>
        </w:rPr>
      </w:pPr>
      <w:r w:rsidRPr="00AC77DB">
        <w:rPr>
          <w:lang w:val="cs-CZ"/>
        </w:rPr>
        <w:t xml:space="preserve"> </w:t>
      </w:r>
    </w:p>
    <w:p w14:paraId="0491E48D" w14:textId="77777777" w:rsidR="00B33F54" w:rsidRPr="00AC77DB" w:rsidRDefault="00B33F54" w:rsidP="005D2F11">
      <w:pPr>
        <w:ind w:left="360" w:firstLine="0"/>
        <w:jc w:val="both"/>
        <w:rPr>
          <w:lang w:val="cs-CZ"/>
        </w:rPr>
      </w:pPr>
    </w:p>
    <w:p w14:paraId="6BF9B852" w14:textId="77777777" w:rsidR="00B33F54" w:rsidRPr="00AC77DB" w:rsidRDefault="00B33F54" w:rsidP="005D2F11">
      <w:pPr>
        <w:ind w:left="360" w:firstLine="0"/>
        <w:jc w:val="both"/>
        <w:rPr>
          <w:lang w:val="cs-CZ"/>
        </w:rPr>
      </w:pPr>
    </w:p>
    <w:p w14:paraId="662101BC"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14</w:t>
      </w:r>
    </w:p>
    <w:p w14:paraId="1B4C66BC" w14:textId="77777777"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14:paraId="5D0E012D" w14:textId="77777777" w:rsidR="005E0DD6" w:rsidRPr="00AC77DB" w:rsidRDefault="00422393" w:rsidP="00C97B43">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14:paraId="7D50151A" w14:textId="77777777" w:rsidR="0043257B" w:rsidRPr="00AC77DB" w:rsidRDefault="00BE7AA0" w:rsidP="00C97B43">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14:paraId="04468D05" w14:textId="77777777" w:rsidR="00B52B7E" w:rsidRPr="00AC77DB" w:rsidRDefault="00B52B7E" w:rsidP="00652C8D">
      <w:pPr>
        <w:spacing w:afterLines="60" w:after="144"/>
        <w:ind w:left="709" w:firstLine="0"/>
        <w:jc w:val="both"/>
        <w:rPr>
          <w:lang w:val="cs-CZ"/>
        </w:rPr>
      </w:pPr>
    </w:p>
    <w:p w14:paraId="219CB4FC" w14:textId="77777777" w:rsidR="00422393" w:rsidRPr="00AC77DB" w:rsidRDefault="00EF7463" w:rsidP="00EF7463">
      <w:pPr>
        <w:pStyle w:val="Nadpis1"/>
        <w:spacing w:before="240"/>
        <w:ind w:left="4253" w:hanging="3827"/>
        <w:jc w:val="center"/>
        <w:rPr>
          <w:b w:val="0"/>
        </w:rPr>
      </w:pPr>
      <w:r w:rsidRPr="00AC77DB">
        <w:rPr>
          <w:sz w:val="22"/>
          <w:szCs w:val="22"/>
        </w:rPr>
        <w:t>Článek 15</w:t>
      </w:r>
    </w:p>
    <w:p w14:paraId="13D7FBEB" w14:textId="77777777" w:rsidR="00422393" w:rsidRPr="00AC77DB" w:rsidRDefault="00422393" w:rsidP="009E764D">
      <w:pPr>
        <w:spacing w:before="120" w:after="120"/>
        <w:ind w:left="850" w:hanging="425"/>
        <w:jc w:val="center"/>
        <w:rPr>
          <w:b/>
          <w:caps/>
          <w:lang w:val="cs-CZ"/>
        </w:rPr>
      </w:pPr>
      <w:r w:rsidRPr="00AC77DB">
        <w:rPr>
          <w:b/>
          <w:caps/>
          <w:lang w:val="cs-CZ"/>
        </w:rPr>
        <w:t>Ustanovení závěrečná</w:t>
      </w:r>
    </w:p>
    <w:p w14:paraId="5FE82E13" w14:textId="77777777"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14:paraId="693C8895" w14:textId="77777777"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14:paraId="5250BBBB" w14:textId="77777777"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14:paraId="7E3EDB95" w14:textId="77777777"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14:paraId="4C7ADD7D" w14:textId="77777777"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14:paraId="48206803" w14:textId="77777777"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14:paraId="1E430E56" w14:textId="77777777"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14:paraId="0D89CB84" w14:textId="77777777"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14:paraId="7A514B5C" w14:textId="35C07D5A"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14:paraId="2FA89128" w14:textId="77777777" w:rsidR="00C76F82" w:rsidRDefault="00C76F82" w:rsidP="00C76F82">
      <w:pPr>
        <w:pStyle w:val="Zkladntextodsazen31"/>
        <w:shd w:val="clear" w:color="auto" w:fill="FFFFFF" w:themeFill="background1"/>
        <w:tabs>
          <w:tab w:val="num" w:pos="1985"/>
        </w:tabs>
        <w:ind w:left="2127" w:hanging="1134"/>
        <w:rPr>
          <w:rFonts w:asciiTheme="majorHAnsi" w:hAnsiTheme="majorHAnsi" w:cs="Arial"/>
          <w:i/>
          <w:szCs w:val="22"/>
        </w:rPr>
      </w:pPr>
      <w:r>
        <w:rPr>
          <w:rFonts w:asciiTheme="majorHAnsi" w:hAnsiTheme="majorHAnsi" w:cs="Arial"/>
          <w:i/>
          <w:szCs w:val="22"/>
        </w:rPr>
        <w:t>Příloha č. 4:  Závazný příslib banky (Originál záruční listiny bankovní záruky)</w:t>
      </w:r>
    </w:p>
    <w:p w14:paraId="70D575A2" w14:textId="77777777"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14:paraId="480EBA58" w14:textId="77777777" w:rsidR="00C76F82" w:rsidRPr="00C76F82" w:rsidRDefault="00C76F82" w:rsidP="00C76F82">
      <w:pPr>
        <w:ind w:left="709" w:firstLine="0"/>
        <w:jc w:val="both"/>
        <w:rPr>
          <w:rFonts w:asciiTheme="majorHAnsi" w:hAnsiTheme="majorHAnsi" w:cs="Arial"/>
          <w:b/>
          <w:i/>
          <w:color w:val="0000FF"/>
          <w:u w:val="single"/>
        </w:rPr>
      </w:pPr>
      <w:proofErr w:type="spellStart"/>
      <w:r w:rsidRPr="00C76F82">
        <w:rPr>
          <w:rFonts w:asciiTheme="majorHAnsi" w:hAnsiTheme="majorHAnsi" w:cs="Arial"/>
          <w:b/>
          <w:i/>
          <w:color w:val="0000FF"/>
          <w:u w:val="single"/>
        </w:rPr>
        <w:t>Uchazeči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nebudou</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jednotlivé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přílohy</w:t>
      </w:r>
      <w:proofErr w:type="spellEnd"/>
      <w:r w:rsidRPr="00C76F82">
        <w:rPr>
          <w:rFonts w:asciiTheme="majorHAnsi" w:hAnsiTheme="majorHAnsi" w:cs="Arial"/>
          <w:b/>
          <w:i/>
          <w:color w:val="0000FF"/>
          <w:u w:val="single"/>
        </w:rPr>
        <w:t xml:space="preserve"> č. 1 </w:t>
      </w:r>
      <w:proofErr w:type="spellStart"/>
      <w:r w:rsidRPr="00C76F82">
        <w:rPr>
          <w:rFonts w:asciiTheme="majorHAnsi" w:hAnsiTheme="majorHAnsi" w:cs="Arial"/>
          <w:b/>
          <w:i/>
          <w:color w:val="0000FF"/>
          <w:u w:val="single"/>
        </w:rPr>
        <w:t>až</w:t>
      </w:r>
      <w:proofErr w:type="spellEnd"/>
      <w:r w:rsidRPr="00C76F82">
        <w:rPr>
          <w:rFonts w:asciiTheme="majorHAnsi" w:hAnsiTheme="majorHAnsi" w:cs="Arial"/>
          <w:b/>
          <w:i/>
          <w:color w:val="0000FF"/>
          <w:u w:val="single"/>
        </w:rPr>
        <w:t xml:space="preserve"> 3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přikládat</w:t>
      </w:r>
      <w:proofErr w:type="spellEnd"/>
      <w:r w:rsidRPr="00C76F82">
        <w:rPr>
          <w:rFonts w:asciiTheme="majorHAnsi" w:hAnsiTheme="majorHAnsi" w:cs="Arial"/>
          <w:b/>
          <w:i/>
          <w:color w:val="0000FF"/>
          <w:u w:val="single"/>
        </w:rPr>
        <w:t xml:space="preserve"> do </w:t>
      </w:r>
      <w:proofErr w:type="spellStart"/>
      <w:r w:rsidRPr="00C76F82">
        <w:rPr>
          <w:rFonts w:asciiTheme="majorHAnsi" w:hAnsiTheme="majorHAnsi" w:cs="Arial"/>
          <w:b/>
          <w:i/>
          <w:color w:val="0000FF"/>
          <w:u w:val="single"/>
        </w:rPr>
        <w:t>nabídky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jako</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nedílné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součásti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návrh</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bude</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předložen</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bez</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Přílohy</w:t>
      </w:r>
      <w:proofErr w:type="spellEnd"/>
      <w:r w:rsidRPr="00C76F82">
        <w:rPr>
          <w:rFonts w:asciiTheme="majorHAnsi" w:hAnsiTheme="majorHAnsi" w:cs="Arial"/>
          <w:b/>
          <w:i/>
          <w:color w:val="0000FF"/>
          <w:u w:val="single"/>
        </w:rPr>
        <w:t xml:space="preserve"> č. 1 </w:t>
      </w:r>
      <w:proofErr w:type="spellStart"/>
      <w:r w:rsidRPr="00C76F82">
        <w:rPr>
          <w:rFonts w:asciiTheme="majorHAnsi" w:hAnsiTheme="majorHAnsi" w:cs="Arial"/>
          <w:b/>
          <w:i/>
          <w:color w:val="0000FF"/>
          <w:u w:val="single"/>
        </w:rPr>
        <w:t>až</w:t>
      </w:r>
      <w:proofErr w:type="spellEnd"/>
      <w:r w:rsidRPr="00C76F82">
        <w:rPr>
          <w:rFonts w:asciiTheme="majorHAnsi" w:hAnsiTheme="majorHAnsi" w:cs="Arial"/>
          <w:b/>
          <w:i/>
          <w:color w:val="0000FF"/>
          <w:u w:val="single"/>
        </w:rPr>
        <w:t xml:space="preserve"> 3 </w:t>
      </w:r>
      <w:proofErr w:type="spellStart"/>
      <w:r w:rsidRPr="00C76F82">
        <w:rPr>
          <w:rFonts w:asciiTheme="majorHAnsi" w:hAnsiTheme="majorHAnsi" w:cs="Arial"/>
          <w:b/>
          <w:i/>
          <w:color w:val="0000FF"/>
          <w:u w:val="single"/>
        </w:rPr>
        <w:t>této</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uchazeči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předkládají</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samostatně</w:t>
      </w:r>
      <w:proofErr w:type="spellEnd"/>
      <w:r w:rsidRPr="00C76F82">
        <w:rPr>
          <w:rFonts w:asciiTheme="majorHAnsi" w:hAnsiTheme="majorHAnsi" w:cs="Arial"/>
          <w:b/>
          <w:i/>
          <w:color w:val="0000FF"/>
          <w:u w:val="single"/>
        </w:rPr>
        <w:t xml:space="preserve"> v </w:t>
      </w:r>
      <w:proofErr w:type="spellStart"/>
      <w:r w:rsidRPr="00C76F82">
        <w:rPr>
          <w:rFonts w:asciiTheme="majorHAnsi" w:hAnsiTheme="majorHAnsi" w:cs="Arial"/>
          <w:b/>
          <w:i/>
          <w:color w:val="0000FF"/>
          <w:u w:val="single"/>
        </w:rPr>
        <w:t>jiné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části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nabídky</w:t>
      </w:r>
      <w:proofErr w:type="spellEnd"/>
      <w:r w:rsidRPr="00C76F82">
        <w:rPr>
          <w:rFonts w:asciiTheme="majorHAnsi" w:hAnsiTheme="majorHAnsi" w:cs="Arial"/>
          <w:b/>
          <w:i/>
          <w:color w:val="0000FF"/>
          <w:u w:val="single"/>
        </w:rPr>
        <w:t xml:space="preserve">. </w:t>
      </w:r>
    </w:p>
    <w:p w14:paraId="5088A570" w14:textId="77777777" w:rsidR="00240DAE" w:rsidRPr="00AC77DB" w:rsidRDefault="00240DAE" w:rsidP="00CB503C">
      <w:pPr>
        <w:ind w:left="851" w:hanging="425"/>
        <w:contextualSpacing/>
        <w:jc w:val="both"/>
        <w:rPr>
          <w:rFonts w:asciiTheme="minorHAnsi" w:hAnsiTheme="minorHAnsi"/>
          <w:highlight w:val="lightGray"/>
          <w:lang w:val="cs-CZ"/>
        </w:rPr>
      </w:pPr>
    </w:p>
    <w:p w14:paraId="253F93AE" w14:textId="77777777" w:rsidR="00240DAE" w:rsidRPr="00AC77DB" w:rsidRDefault="00240DAE" w:rsidP="00CB503C">
      <w:pPr>
        <w:ind w:left="851" w:hanging="425"/>
        <w:contextualSpacing/>
        <w:jc w:val="both"/>
        <w:rPr>
          <w:rFonts w:asciiTheme="minorHAnsi" w:hAnsiTheme="minorHAnsi"/>
          <w:highlight w:val="lightGray"/>
          <w:lang w:val="cs-CZ"/>
        </w:rPr>
      </w:pPr>
    </w:p>
    <w:p w14:paraId="13113376" w14:textId="77777777" w:rsidR="00240DAE" w:rsidRPr="00AC77DB" w:rsidRDefault="00240DAE" w:rsidP="00CB503C">
      <w:pPr>
        <w:ind w:left="851" w:hanging="425"/>
        <w:contextualSpacing/>
        <w:jc w:val="both"/>
        <w:rPr>
          <w:rFonts w:asciiTheme="minorHAnsi" w:hAnsiTheme="minorHAnsi"/>
          <w:highlight w:val="lightGray"/>
          <w:lang w:val="cs-CZ"/>
        </w:rPr>
      </w:pPr>
    </w:p>
    <w:p w14:paraId="15EFE0A7" w14:textId="77777777"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V……………………………..dne………………….                                              V……………………………..dne………………….</w:t>
      </w:r>
    </w:p>
    <w:p w14:paraId="2E8A35A5" w14:textId="77777777" w:rsidR="00CB503C" w:rsidRPr="00AC77DB" w:rsidRDefault="00CB503C" w:rsidP="00CB503C">
      <w:pPr>
        <w:ind w:left="851" w:hanging="425"/>
        <w:contextualSpacing/>
        <w:jc w:val="both"/>
        <w:rPr>
          <w:rFonts w:asciiTheme="minorHAnsi" w:hAnsiTheme="minorHAnsi"/>
          <w:lang w:val="cs-CZ"/>
        </w:rPr>
      </w:pPr>
    </w:p>
    <w:p w14:paraId="0738BFA8" w14:textId="77777777" w:rsidR="00CB503C" w:rsidRPr="00AC77DB" w:rsidRDefault="00CB503C" w:rsidP="00CB503C">
      <w:pPr>
        <w:ind w:left="851" w:hanging="425"/>
        <w:contextualSpacing/>
        <w:jc w:val="both"/>
        <w:rPr>
          <w:rFonts w:asciiTheme="minorHAnsi" w:hAnsiTheme="minorHAnsi"/>
          <w:lang w:val="cs-CZ"/>
        </w:rPr>
      </w:pPr>
    </w:p>
    <w:p w14:paraId="271D32CD" w14:textId="77777777" w:rsidR="00306955" w:rsidRPr="00AC77DB" w:rsidRDefault="00306955" w:rsidP="00CB503C">
      <w:pPr>
        <w:ind w:left="851" w:hanging="425"/>
        <w:contextualSpacing/>
        <w:jc w:val="both"/>
        <w:rPr>
          <w:rFonts w:asciiTheme="minorHAnsi" w:hAnsiTheme="minorHAnsi"/>
          <w:lang w:val="cs-CZ"/>
        </w:rPr>
      </w:pPr>
    </w:p>
    <w:p w14:paraId="2632A0BD" w14:textId="77777777" w:rsidR="00652C8D" w:rsidRPr="00AC77DB" w:rsidRDefault="00652C8D" w:rsidP="00CB503C">
      <w:pPr>
        <w:ind w:left="851" w:hanging="425"/>
        <w:contextualSpacing/>
        <w:jc w:val="both"/>
        <w:rPr>
          <w:rFonts w:asciiTheme="minorHAnsi" w:hAnsiTheme="minorHAnsi"/>
          <w:lang w:val="cs-CZ"/>
        </w:rPr>
      </w:pPr>
    </w:p>
    <w:p w14:paraId="7F4D4A53" w14:textId="77777777"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w:t>
      </w:r>
    </w:p>
    <w:p w14:paraId="53293FEC" w14:textId="77777777"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1F1985" w:rsidRPr="00AC77DB">
        <w:rPr>
          <w:rFonts w:asciiTheme="minorHAnsi" w:hAnsiTheme="minorHAnsi"/>
          <w:lang w:val="cs-CZ"/>
        </w:rPr>
        <w:t xml:space="preserve">           </w:t>
      </w:r>
      <w:r w:rsidR="00296C68" w:rsidRPr="00AC77DB">
        <w:rPr>
          <w:rFonts w:asciiTheme="minorHAnsi" w:hAnsiTheme="minorHAnsi"/>
          <w:lang w:val="cs-CZ"/>
        </w:rPr>
        <w:t xml:space="preserve">    </w:t>
      </w:r>
      <w:r w:rsidR="001F1985" w:rsidRPr="00AC77DB">
        <w:rPr>
          <w:rFonts w:asciiTheme="minorHAnsi" w:hAnsiTheme="minorHAnsi"/>
          <w:lang w:val="cs-CZ"/>
        </w:rPr>
        <w:t xml:space="preserve"> </w:t>
      </w:r>
      <w:r w:rsidR="00296C68" w:rsidRPr="00AC77DB">
        <w:rPr>
          <w:rStyle w:val="Siln"/>
          <w:b w:val="0"/>
          <w:bCs w:val="0"/>
          <w:color w:val="000000"/>
          <w:lang w:val="cs-CZ"/>
        </w:rPr>
        <w:t>Miroslav PICKA</w:t>
      </w:r>
    </w:p>
    <w:p w14:paraId="70861E9E" w14:textId="77777777"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14:paraId="64518417" w14:textId="77777777"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8A2E3D">
          <w:rPr>
            <w:noProof/>
          </w:rPr>
          <w:t>- 12 -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4">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5863817"/>
    <w:multiLevelType w:val="hybridMultilevel"/>
    <w:tmpl w:val="02FCEAE8"/>
    <w:lvl w:ilvl="0" w:tplc="C352D2FC">
      <w:start w:val="68"/>
      <w:numFmt w:val="bullet"/>
      <w:lvlText w:val="-"/>
      <w:lvlJc w:val="left"/>
      <w:pPr>
        <w:ind w:left="1080" w:hanging="360"/>
      </w:pPr>
      <w:rPr>
        <w:rFonts w:ascii="Calibri" w:eastAsia="Times New Roman"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7">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0"/>
  </w:num>
  <w:num w:numId="2">
    <w:abstractNumId w:val="16"/>
  </w:num>
  <w:num w:numId="3">
    <w:abstractNumId w:val="36"/>
  </w:num>
  <w:num w:numId="4">
    <w:abstractNumId w:val="2"/>
  </w:num>
  <w:num w:numId="5">
    <w:abstractNumId w:val="17"/>
  </w:num>
  <w:num w:numId="6">
    <w:abstractNumId w:val="15"/>
  </w:num>
  <w:num w:numId="7">
    <w:abstractNumId w:val="12"/>
  </w:num>
  <w:num w:numId="8">
    <w:abstractNumId w:val="4"/>
  </w:num>
  <w:num w:numId="9">
    <w:abstractNumId w:val="29"/>
  </w:num>
  <w:num w:numId="10">
    <w:abstractNumId w:val="3"/>
  </w:num>
  <w:num w:numId="11">
    <w:abstractNumId w:val="42"/>
  </w:num>
  <w:num w:numId="12">
    <w:abstractNumId w:val="31"/>
  </w:num>
  <w:num w:numId="13">
    <w:abstractNumId w:val="39"/>
  </w:num>
  <w:num w:numId="14">
    <w:abstractNumId w:val="11"/>
  </w:num>
  <w:num w:numId="15">
    <w:abstractNumId w:val="37"/>
  </w:num>
  <w:num w:numId="16">
    <w:abstractNumId w:val="8"/>
  </w:num>
  <w:num w:numId="17">
    <w:abstractNumId w:val="25"/>
  </w:num>
  <w:num w:numId="18">
    <w:abstractNumId w:val="14"/>
  </w:num>
  <w:num w:numId="19">
    <w:abstractNumId w:val="35"/>
  </w:num>
  <w:num w:numId="20">
    <w:abstractNumId w:val="30"/>
  </w:num>
  <w:num w:numId="21">
    <w:abstractNumId w:val="28"/>
  </w:num>
  <w:num w:numId="22">
    <w:abstractNumId w:val="7"/>
  </w:num>
  <w:num w:numId="23">
    <w:abstractNumId w:val="22"/>
  </w:num>
  <w:num w:numId="24">
    <w:abstractNumId w:val="41"/>
  </w:num>
  <w:num w:numId="25">
    <w:abstractNumId w:val="18"/>
  </w:num>
  <w:num w:numId="26">
    <w:abstractNumId w:val="23"/>
  </w:num>
  <w:num w:numId="27">
    <w:abstractNumId w:val="0"/>
    <w:lvlOverride w:ilvl="0">
      <w:startOverride w:val="1"/>
    </w:lvlOverride>
  </w:num>
  <w:num w:numId="28">
    <w:abstractNumId w:val="6"/>
  </w:num>
  <w:num w:numId="29">
    <w:abstractNumId w:val="2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8"/>
  </w:num>
  <w:num w:numId="33">
    <w:abstractNumId w:val="9"/>
  </w:num>
  <w:num w:numId="34">
    <w:abstractNumId w:val="21"/>
  </w:num>
  <w:num w:numId="35">
    <w:abstractNumId w:val="34"/>
  </w:num>
  <w:num w:numId="36">
    <w:abstractNumId w:val="33"/>
  </w:num>
  <w:num w:numId="37">
    <w:abstractNumId w:val="19"/>
  </w:num>
  <w:num w:numId="38">
    <w:abstractNumId w:val="5"/>
  </w:num>
  <w:num w:numId="39">
    <w:abstractNumId w:val="13"/>
  </w:num>
  <w:num w:numId="40">
    <w:abstractNumId w:val="44"/>
  </w:num>
  <w:num w:numId="41">
    <w:abstractNumId w:val="24"/>
  </w:num>
  <w:num w:numId="42">
    <w:abstractNumId w:val="10"/>
  </w:num>
  <w:num w:numId="43">
    <w:abstractNumId w:val="43"/>
  </w:num>
  <w:num w:numId="44">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553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6D8C"/>
    <w:rsid w:val="00044155"/>
    <w:rsid w:val="00045325"/>
    <w:rsid w:val="00045EF2"/>
    <w:rsid w:val="0004771F"/>
    <w:rsid w:val="00050B2D"/>
    <w:rsid w:val="00061A6A"/>
    <w:rsid w:val="000662CF"/>
    <w:rsid w:val="0007396B"/>
    <w:rsid w:val="00077BEF"/>
    <w:rsid w:val="00085A90"/>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F1985"/>
    <w:rsid w:val="00225A11"/>
    <w:rsid w:val="00240DAE"/>
    <w:rsid w:val="0024214C"/>
    <w:rsid w:val="00265400"/>
    <w:rsid w:val="00270F20"/>
    <w:rsid w:val="00280AD9"/>
    <w:rsid w:val="002917E1"/>
    <w:rsid w:val="00296C68"/>
    <w:rsid w:val="002A78CD"/>
    <w:rsid w:val="002C3AA6"/>
    <w:rsid w:val="002C7E7F"/>
    <w:rsid w:val="002E1D45"/>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675C"/>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82953"/>
    <w:rsid w:val="00785702"/>
    <w:rsid w:val="00785BDA"/>
    <w:rsid w:val="007A1AD0"/>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A2E3D"/>
    <w:rsid w:val="008B1EFE"/>
    <w:rsid w:val="008B2CDF"/>
    <w:rsid w:val="008B3F87"/>
    <w:rsid w:val="008B4FE4"/>
    <w:rsid w:val="008B5974"/>
    <w:rsid w:val="008B6C98"/>
    <w:rsid w:val="008C25F8"/>
    <w:rsid w:val="008C7B33"/>
    <w:rsid w:val="008D1FA4"/>
    <w:rsid w:val="008D29EC"/>
    <w:rsid w:val="00902B6D"/>
    <w:rsid w:val="00930B02"/>
    <w:rsid w:val="00937AC1"/>
    <w:rsid w:val="00956544"/>
    <w:rsid w:val="00961AD0"/>
    <w:rsid w:val="00973FB1"/>
    <w:rsid w:val="00976243"/>
    <w:rsid w:val="009811A5"/>
    <w:rsid w:val="00984F9C"/>
    <w:rsid w:val="0098797B"/>
    <w:rsid w:val="00992E87"/>
    <w:rsid w:val="009B55F9"/>
    <w:rsid w:val="009C56F1"/>
    <w:rsid w:val="009E1650"/>
    <w:rsid w:val="009E764D"/>
    <w:rsid w:val="00A40A0D"/>
    <w:rsid w:val="00A563EF"/>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76F82"/>
    <w:rsid w:val="00C932B3"/>
    <w:rsid w:val="00C978E9"/>
    <w:rsid w:val="00C97B43"/>
    <w:rsid w:val="00CB4050"/>
    <w:rsid w:val="00CB503C"/>
    <w:rsid w:val="00CB5924"/>
    <w:rsid w:val="00CD4418"/>
    <w:rsid w:val="00CD6A64"/>
    <w:rsid w:val="00CE7D17"/>
    <w:rsid w:val="00CF0CC3"/>
    <w:rsid w:val="00CF1554"/>
    <w:rsid w:val="00CF7B09"/>
    <w:rsid w:val="00D1519C"/>
    <w:rsid w:val="00D20B28"/>
    <w:rsid w:val="00D35D0F"/>
    <w:rsid w:val="00D4642C"/>
    <w:rsid w:val="00D705D7"/>
    <w:rsid w:val="00D72D7A"/>
    <w:rsid w:val="00D815D8"/>
    <w:rsid w:val="00D86AFE"/>
    <w:rsid w:val="00DA0E42"/>
    <w:rsid w:val="00DA11C6"/>
    <w:rsid w:val="00DA326B"/>
    <w:rsid w:val="00DA6611"/>
    <w:rsid w:val="00DC2929"/>
    <w:rsid w:val="00DD4F86"/>
    <w:rsid w:val="00DE398F"/>
    <w:rsid w:val="00DE5D0A"/>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F6C296A4-9C8C-4ECF-ACB1-00175FE2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12</Pages>
  <Words>5432</Words>
  <Characters>32054</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31</cp:revision>
  <cp:lastPrinted>2014-01-06T09:58:00Z</cp:lastPrinted>
  <dcterms:created xsi:type="dcterms:W3CDTF">2014-01-29T20:28:00Z</dcterms:created>
  <dcterms:modified xsi:type="dcterms:W3CDTF">2014-04-02T13:33:00Z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